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B1D" w:rsidRDefault="00C31B1D" w:rsidP="00D92610">
      <w:pPr>
        <w:pStyle w:val="Rientrocorpodeltesto2"/>
        <w:ind w:left="1843" w:hanging="1701"/>
        <w:jc w:val="both"/>
      </w:pPr>
      <w:r>
        <w:t>ART.   1</w:t>
      </w:r>
      <w:r w:rsidR="00D92610">
        <w:t xml:space="preserve"> bis</w:t>
      </w:r>
      <w:r>
        <w:t xml:space="preserve">  -</w:t>
      </w:r>
      <w:r>
        <w:tab/>
      </w:r>
      <w:r w:rsidR="00D92610">
        <w:t>RELAZIONI INDUSTRIALI</w:t>
      </w:r>
      <w:r>
        <w:t xml:space="preserve">    </w:t>
      </w:r>
    </w:p>
    <w:p w:rsidR="00C31B1D" w:rsidRDefault="00C31B1D" w:rsidP="00C31B1D">
      <w:pPr>
        <w:pStyle w:val="Rientrocorpodeltesto2"/>
        <w:ind w:left="1418" w:hanging="1418"/>
        <w:jc w:val="both"/>
        <w:rPr>
          <w:b w:val="0"/>
          <w:i/>
        </w:rPr>
      </w:pPr>
    </w:p>
    <w:p w:rsidR="00D92610" w:rsidRDefault="00D92610" w:rsidP="00D92610">
      <w:pPr>
        <w:pStyle w:val="Paragrafoelenco"/>
        <w:numPr>
          <w:ilvl w:val="0"/>
          <w:numId w:val="5"/>
        </w:numPr>
        <w:ind w:left="426" w:hanging="426"/>
        <w:rPr>
          <w:sz w:val="24"/>
          <w:szCs w:val="24"/>
        </w:rPr>
      </w:pPr>
      <w:r>
        <w:rPr>
          <w:sz w:val="24"/>
          <w:szCs w:val="24"/>
        </w:rPr>
        <w:t>Il termine di cui al 1° capoverso del punto 4 dell’art. 1 (Relazioni Industriali) del CCNL della Mobilità del 30.9.2010 è fissato, in applicazione del presente CCNL, al 30 giugno 2012.</w:t>
      </w:r>
    </w:p>
    <w:p w:rsidR="00D92610" w:rsidRDefault="00D92610" w:rsidP="00D92610">
      <w:pPr>
        <w:pStyle w:val="Paragrafoelenco"/>
        <w:ind w:left="426"/>
        <w:rPr>
          <w:sz w:val="24"/>
          <w:szCs w:val="24"/>
        </w:rPr>
      </w:pPr>
    </w:p>
    <w:p w:rsidR="00D92610" w:rsidRPr="00D92610" w:rsidRDefault="00D92610" w:rsidP="00D92610">
      <w:pPr>
        <w:pStyle w:val="Paragrafoelenco"/>
        <w:ind w:left="426"/>
        <w:rPr>
          <w:sz w:val="24"/>
          <w:szCs w:val="24"/>
        </w:rPr>
      </w:pPr>
      <w:r>
        <w:rPr>
          <w:sz w:val="24"/>
          <w:szCs w:val="24"/>
        </w:rPr>
        <w:t>Il termine di cui al 4° capoverso del punto 4 del ripetuto art. 1 del CCNL della Mobilità è fissato, in applicazione del presente CCNL, al 31 dicembre 2012.</w:t>
      </w:r>
    </w:p>
    <w:p w:rsidR="00D92610" w:rsidRDefault="00D92610" w:rsidP="00D92610">
      <w:pPr>
        <w:pStyle w:val="Paragrafoelenco"/>
        <w:ind w:left="426"/>
      </w:pPr>
    </w:p>
    <w:p w:rsidR="00B63042" w:rsidRPr="00D92610" w:rsidRDefault="00B63042" w:rsidP="00D92610">
      <w:pPr>
        <w:pStyle w:val="Paragrafoelenco"/>
        <w:numPr>
          <w:ilvl w:val="0"/>
          <w:numId w:val="5"/>
        </w:numPr>
        <w:ind w:left="426" w:hanging="426"/>
        <w:jc w:val="both"/>
        <w:rPr>
          <w:sz w:val="24"/>
        </w:rPr>
      </w:pPr>
      <w:r w:rsidRPr="00D92610">
        <w:rPr>
          <w:sz w:val="24"/>
        </w:rPr>
        <w:t>In applicazione del 3° capoverso del punto 4 dell’art. 1 (Relazioni industriali) del CCNL della Mobilità del 30.9.2010, in attesa della attivazione degli Organismi paritetici di cui al citato stesso art. 1, restano in vigore gli Organismi paritetici di cui alla lettera A) dell’art. 1 del CCNL delle Attività ferroviarie del 16.4.2003, come di seguito riportato:</w:t>
      </w:r>
    </w:p>
    <w:p w:rsidR="00B63042" w:rsidRDefault="00B63042" w:rsidP="00B63042">
      <w:pPr>
        <w:jc w:val="both"/>
        <w:rPr>
          <w:sz w:val="24"/>
        </w:rPr>
      </w:pPr>
    </w:p>
    <w:p w:rsidR="00C31B1D" w:rsidRDefault="00C31B1D" w:rsidP="00D92610">
      <w:pPr>
        <w:pStyle w:val="Titolo3"/>
        <w:ind w:left="851" w:hanging="426"/>
        <w:rPr>
          <w:b/>
        </w:rPr>
      </w:pPr>
      <w:r>
        <w:rPr>
          <w:b/>
        </w:rPr>
        <w:t>A.</w:t>
      </w:r>
      <w:r>
        <w:rPr>
          <w:b/>
        </w:rPr>
        <w:tab/>
        <w:t>ORGANISMI PARITETICI</w:t>
      </w:r>
    </w:p>
    <w:p w:rsidR="00C31B1D" w:rsidRDefault="00C31B1D" w:rsidP="00D92610">
      <w:pPr>
        <w:pStyle w:val="Titolo4"/>
        <w:ind w:left="851"/>
        <w:rPr>
          <w:b w:val="0"/>
          <w:sz w:val="24"/>
          <w:u w:val="single"/>
        </w:rPr>
      </w:pPr>
      <w:r>
        <w:rPr>
          <w:b w:val="0"/>
          <w:sz w:val="24"/>
          <w:u w:val="single"/>
        </w:rPr>
        <w:t>OSSERVATORIO NAZIONALE</w:t>
      </w:r>
    </w:p>
    <w:p w:rsidR="00C31B1D" w:rsidRDefault="00C31B1D" w:rsidP="00D92610">
      <w:pPr>
        <w:ind w:left="851"/>
        <w:jc w:val="both"/>
        <w:rPr>
          <w:sz w:val="24"/>
        </w:rPr>
      </w:pPr>
      <w:r>
        <w:rPr>
          <w:sz w:val="24"/>
        </w:rPr>
        <w:t>Entro il termine previsto al precedente punto 2 verrà costituito a livello nazionale un Osservatorio, formato pariteticamente da un rappresentante per ciascuna Organizzazione Sindacale stipulante e da un identico numero complessivo di componenti di parte imprenditoriale, quale sede di analisi, verifica e confronto sistematici sulle seguenti aree tematiche: situazione economico sociale del trasporto ferroviario, formazione professionale, ambiente e sicurezza del lavoro.</w:t>
      </w:r>
    </w:p>
    <w:p w:rsidR="00C31B1D" w:rsidRDefault="00C31B1D" w:rsidP="00B63042">
      <w:pPr>
        <w:ind w:left="426"/>
        <w:jc w:val="both"/>
        <w:rPr>
          <w:sz w:val="24"/>
        </w:rPr>
      </w:pPr>
    </w:p>
    <w:p w:rsidR="00C31B1D" w:rsidRDefault="00C31B1D" w:rsidP="00D92610">
      <w:pPr>
        <w:ind w:left="851"/>
        <w:jc w:val="both"/>
        <w:rPr>
          <w:sz w:val="24"/>
        </w:rPr>
      </w:pPr>
      <w:r>
        <w:rPr>
          <w:sz w:val="24"/>
        </w:rPr>
        <w:t>In particolare, in tale sede, ed in relazione alle aree tematiche sopra individuate, saranno affrontati i seguenti argomenti:</w:t>
      </w:r>
    </w:p>
    <w:p w:rsidR="00C31B1D" w:rsidRDefault="00C31B1D" w:rsidP="00D92610">
      <w:pPr>
        <w:numPr>
          <w:ilvl w:val="0"/>
          <w:numId w:val="4"/>
        </w:numPr>
        <w:tabs>
          <w:tab w:val="clear" w:pos="360"/>
          <w:tab w:val="num" w:pos="-2694"/>
        </w:tabs>
        <w:ind w:left="1276" w:hanging="425"/>
        <w:jc w:val="both"/>
        <w:rPr>
          <w:sz w:val="24"/>
        </w:rPr>
      </w:pPr>
      <w:r>
        <w:rPr>
          <w:sz w:val="24"/>
        </w:rPr>
        <w:t>andamento delle imprese di servizi di trasporto su ferro, nazionali e comunitarie, del mercato e della produzione anche in relazione ai dati congiunturali e di lungo periodo relativi agli altri settori del trasporto (su strada, aereo, marittimo);</w:t>
      </w:r>
    </w:p>
    <w:p w:rsidR="00C31B1D" w:rsidRDefault="00C31B1D" w:rsidP="00D92610">
      <w:pPr>
        <w:numPr>
          <w:ilvl w:val="0"/>
          <w:numId w:val="4"/>
        </w:numPr>
        <w:tabs>
          <w:tab w:val="clear" w:pos="360"/>
          <w:tab w:val="num" w:pos="-2694"/>
        </w:tabs>
        <w:ind w:left="1276" w:hanging="425"/>
        <w:jc w:val="both"/>
        <w:rPr>
          <w:sz w:val="24"/>
        </w:rPr>
      </w:pPr>
      <w:r>
        <w:rPr>
          <w:sz w:val="24"/>
        </w:rPr>
        <w:t>evoluzione dell'assetto organizzativo del mercato delle attività ferroviarie, rispetto all'evoluzione internazionale e nazionale del settore, avendo riguardo alle realtà territoriali di cui all’obiettivo 1 quale definito nella normativa comunitaria, ed in particolare al Mezzogiorno;</w:t>
      </w:r>
    </w:p>
    <w:p w:rsidR="00C31B1D" w:rsidRDefault="00C31B1D" w:rsidP="00D92610">
      <w:pPr>
        <w:numPr>
          <w:ilvl w:val="0"/>
          <w:numId w:val="4"/>
        </w:numPr>
        <w:tabs>
          <w:tab w:val="clear" w:pos="360"/>
          <w:tab w:val="num" w:pos="-2694"/>
        </w:tabs>
        <w:ind w:left="1276" w:hanging="425"/>
        <w:jc w:val="both"/>
        <w:rPr>
          <w:sz w:val="24"/>
        </w:rPr>
      </w:pPr>
      <w:r>
        <w:rPr>
          <w:sz w:val="24"/>
        </w:rPr>
        <w:t xml:space="preserve">linee di sviluppo tecnologico del settore, con riferimento alle possibili applicazioni ed alle connesse opportunità di mercato; </w:t>
      </w:r>
    </w:p>
    <w:p w:rsidR="00C31B1D" w:rsidRDefault="00C31B1D" w:rsidP="00D92610">
      <w:pPr>
        <w:numPr>
          <w:ilvl w:val="0"/>
          <w:numId w:val="4"/>
        </w:numPr>
        <w:tabs>
          <w:tab w:val="clear" w:pos="360"/>
          <w:tab w:val="num" w:pos="-2694"/>
        </w:tabs>
        <w:ind w:left="1276" w:hanging="425"/>
        <w:jc w:val="both"/>
        <w:rPr>
          <w:sz w:val="24"/>
        </w:rPr>
      </w:pPr>
      <w:r>
        <w:rPr>
          <w:sz w:val="24"/>
        </w:rPr>
        <w:t xml:space="preserve">andamento della normativa di circolazione con particolare riguardo ai sistemi di sicurezza  e alla formazione professionale; </w:t>
      </w:r>
    </w:p>
    <w:p w:rsidR="00C31B1D" w:rsidRDefault="00C31B1D" w:rsidP="00D92610">
      <w:pPr>
        <w:numPr>
          <w:ilvl w:val="0"/>
          <w:numId w:val="4"/>
        </w:numPr>
        <w:tabs>
          <w:tab w:val="clear" w:pos="360"/>
          <w:tab w:val="num" w:pos="-2694"/>
        </w:tabs>
        <w:ind w:left="1276" w:hanging="425"/>
        <w:jc w:val="both"/>
        <w:rPr>
          <w:sz w:val="24"/>
        </w:rPr>
      </w:pPr>
      <w:r>
        <w:rPr>
          <w:sz w:val="24"/>
        </w:rPr>
        <w:t>dinamiche congiunturali e di lungo periodo dei principali indicatori economici del settore rilevati dai dati di bilancio delle imprese  relativi all'andamento complessivo del comparto produttivo, delle retribuzioni e del costo del lavoro, anche con riferimento al mercato internazionale;</w:t>
      </w:r>
    </w:p>
    <w:p w:rsidR="00C31B1D" w:rsidRDefault="00C31B1D" w:rsidP="00D92610">
      <w:pPr>
        <w:numPr>
          <w:ilvl w:val="0"/>
          <w:numId w:val="4"/>
        </w:numPr>
        <w:tabs>
          <w:tab w:val="clear" w:pos="360"/>
          <w:tab w:val="num" w:pos="-2694"/>
        </w:tabs>
        <w:ind w:left="1276" w:hanging="425"/>
        <w:jc w:val="both"/>
        <w:rPr>
          <w:sz w:val="24"/>
        </w:rPr>
      </w:pPr>
      <w:r>
        <w:rPr>
          <w:sz w:val="24"/>
        </w:rPr>
        <w:t>andamento dell’occupazione e del mercato del lavoro del settore distinti per sesso con analisi e valutazione  della dimensione occupazionale  delle imprese, dei flussi in entrata e in uscita, delle tipologie dei rapporti di lavoro, delle prospettive di sviluppo delle articolazioni professionali interne, dell'andamento dei salari di fatto e delle dinamiche degli orari effettivi in rapporto all’orario contrattuale;</w:t>
      </w:r>
    </w:p>
    <w:p w:rsidR="00C31B1D" w:rsidRDefault="00C31B1D" w:rsidP="00D92610">
      <w:pPr>
        <w:numPr>
          <w:ilvl w:val="0"/>
          <w:numId w:val="4"/>
        </w:numPr>
        <w:tabs>
          <w:tab w:val="clear" w:pos="360"/>
          <w:tab w:val="num" w:pos="-2694"/>
        </w:tabs>
        <w:ind w:left="1276" w:hanging="425"/>
        <w:jc w:val="both"/>
        <w:rPr>
          <w:sz w:val="24"/>
        </w:rPr>
      </w:pPr>
      <w:r>
        <w:rPr>
          <w:sz w:val="24"/>
        </w:rPr>
        <w:t>formazione e riqualificazione professionale, con particolare riferimento alle dinamiche evolutive delle esigenze formative connesse alle innovazioni tecnologiche ed alle trasformazioni organizzative, normative e professionali;</w:t>
      </w:r>
    </w:p>
    <w:p w:rsidR="00C31B1D" w:rsidRDefault="00C31B1D" w:rsidP="00D92610">
      <w:pPr>
        <w:numPr>
          <w:ilvl w:val="0"/>
          <w:numId w:val="4"/>
        </w:numPr>
        <w:tabs>
          <w:tab w:val="clear" w:pos="360"/>
          <w:tab w:val="num" w:pos="-2694"/>
        </w:tabs>
        <w:ind w:left="1276" w:hanging="425"/>
        <w:jc w:val="both"/>
        <w:rPr>
          <w:sz w:val="24"/>
        </w:rPr>
      </w:pPr>
      <w:r>
        <w:rPr>
          <w:sz w:val="24"/>
        </w:rPr>
        <w:t xml:space="preserve">tematiche relative alla sicurezza del lavoro e agli ambienti di lavoro connesse alle particolari caratteristiche del trasporto ferroviario, anche con riferimento ai rapporti </w:t>
      </w:r>
      <w:r>
        <w:rPr>
          <w:sz w:val="24"/>
        </w:rPr>
        <w:lastRenderedPageBreak/>
        <w:t xml:space="preserve">con le Istituzioni ed all’evoluzione delle normative nazionali e comunitarie in materia, alla costituzione dei RLS e alle iniziative formative realizzate; </w:t>
      </w:r>
    </w:p>
    <w:p w:rsidR="00C31B1D" w:rsidRDefault="00C31B1D" w:rsidP="00D92610">
      <w:pPr>
        <w:numPr>
          <w:ilvl w:val="0"/>
          <w:numId w:val="4"/>
        </w:numPr>
        <w:tabs>
          <w:tab w:val="clear" w:pos="360"/>
          <w:tab w:val="num" w:pos="-2694"/>
        </w:tabs>
        <w:ind w:left="1276" w:hanging="425"/>
        <w:jc w:val="both"/>
        <w:rPr>
          <w:sz w:val="24"/>
        </w:rPr>
      </w:pPr>
      <w:r>
        <w:rPr>
          <w:sz w:val="24"/>
        </w:rPr>
        <w:t>andamento delle relazioni industriali e del sistema della partecipazione negli organismi paritetici nelle imprese del settore.</w:t>
      </w:r>
    </w:p>
    <w:p w:rsidR="00C31B1D" w:rsidRDefault="00C31B1D" w:rsidP="00C31B1D">
      <w:pPr>
        <w:jc w:val="both"/>
        <w:rPr>
          <w:b/>
          <w:sz w:val="24"/>
        </w:rPr>
      </w:pPr>
    </w:p>
    <w:p w:rsidR="00C31B1D" w:rsidRDefault="00C31B1D" w:rsidP="00D92610">
      <w:pPr>
        <w:pStyle w:val="Corpodeltesto2"/>
        <w:ind w:left="851"/>
      </w:pPr>
      <w:r>
        <w:t>Ai fini dell’analisi e valutazione dei flussi occupazionali verrà costituita presso l’Osservatorio stesso una banca dati destinata a raccogliere informazioni relative all’andamento dell’occupazione e del mercato del lavoro del settore, ai flussi in entrata e in uscita, alle tipologie dei rapporti di lavoro; la raccolta dei dati avverrà nel pieno rispetto della vigente  disciplina sulla tutela della privacy.</w:t>
      </w:r>
    </w:p>
    <w:p w:rsidR="00C31B1D" w:rsidRDefault="00C31B1D" w:rsidP="00C31B1D">
      <w:pPr>
        <w:ind w:left="1276"/>
        <w:jc w:val="both"/>
        <w:rPr>
          <w:sz w:val="24"/>
        </w:rPr>
      </w:pPr>
    </w:p>
    <w:p w:rsidR="00C31B1D" w:rsidRDefault="00C31B1D" w:rsidP="00D92610">
      <w:pPr>
        <w:ind w:left="851"/>
        <w:jc w:val="both"/>
        <w:rPr>
          <w:sz w:val="24"/>
        </w:rPr>
      </w:pPr>
      <w:r>
        <w:rPr>
          <w:sz w:val="24"/>
        </w:rPr>
        <w:t>L’Osservatorio Nazionale potrà realizzare specifiche iniziative di approfondimento, studio e ricerca su materie ed argomenti individuati di comune accordo tra le parti e nell’ambito delle aree tematiche sopra definite.</w:t>
      </w:r>
    </w:p>
    <w:p w:rsidR="00C31B1D" w:rsidRDefault="00C31B1D" w:rsidP="00D92610">
      <w:pPr>
        <w:ind w:left="851"/>
        <w:jc w:val="both"/>
        <w:rPr>
          <w:sz w:val="24"/>
        </w:rPr>
      </w:pPr>
    </w:p>
    <w:p w:rsidR="00C31B1D" w:rsidRDefault="00C31B1D" w:rsidP="00D92610">
      <w:pPr>
        <w:ind w:left="851"/>
        <w:jc w:val="both"/>
        <w:rPr>
          <w:sz w:val="24"/>
        </w:rPr>
      </w:pPr>
      <w:r>
        <w:rPr>
          <w:sz w:val="24"/>
        </w:rPr>
        <w:t>A tal fine potranno essere costituite commissioni con lo scopo di elaborare studi o documenti da sottoporre alle parti contraenti, atti ad individuare soluzioni a questioni di particolare rilevanza per il settore. A tale scopo l’Osservatorio potrà avvalersi, per lo svolgimento dei propri compiti, anche del contributo di esperti ovvero di strutture professionali esterne, scelti di comune accordo dalle parti.</w:t>
      </w:r>
    </w:p>
    <w:p w:rsidR="00C31B1D" w:rsidRDefault="00C31B1D" w:rsidP="00D92610">
      <w:pPr>
        <w:ind w:left="851"/>
        <w:jc w:val="both"/>
        <w:rPr>
          <w:sz w:val="24"/>
        </w:rPr>
      </w:pPr>
      <w:r>
        <w:rPr>
          <w:sz w:val="24"/>
        </w:rPr>
        <w:t>Entro tre mesi dalla stipula del presente CCNL le parti definiranno con apposito accordo le modalità costitutive ed operative per l'avvio ed il corretto funzionamento dell'Osservatorio per renderlo operativo nei termini previsti al punto 2 del presente articolo.</w:t>
      </w:r>
    </w:p>
    <w:p w:rsidR="00C31B1D" w:rsidRDefault="00C31B1D" w:rsidP="00D92610">
      <w:pPr>
        <w:ind w:left="851"/>
        <w:jc w:val="both"/>
        <w:rPr>
          <w:sz w:val="24"/>
        </w:rPr>
      </w:pPr>
    </w:p>
    <w:p w:rsidR="00C31B1D" w:rsidRDefault="00C31B1D" w:rsidP="00D92610">
      <w:pPr>
        <w:ind w:left="851"/>
        <w:jc w:val="both"/>
        <w:rPr>
          <w:sz w:val="24"/>
        </w:rPr>
      </w:pPr>
    </w:p>
    <w:p w:rsidR="00C31B1D" w:rsidRDefault="00C31B1D" w:rsidP="00D92610">
      <w:pPr>
        <w:ind w:left="851"/>
        <w:rPr>
          <w:sz w:val="24"/>
          <w:u w:val="single"/>
        </w:rPr>
      </w:pPr>
      <w:r>
        <w:rPr>
          <w:sz w:val="24"/>
          <w:u w:val="single"/>
        </w:rPr>
        <w:t>COMITATO PER LE PARI OPPORTUNITA'</w:t>
      </w:r>
    </w:p>
    <w:p w:rsidR="00C31B1D" w:rsidRDefault="00C31B1D" w:rsidP="00D92610">
      <w:pPr>
        <w:ind w:left="851"/>
        <w:jc w:val="both"/>
        <w:rPr>
          <w:sz w:val="24"/>
        </w:rPr>
      </w:pPr>
    </w:p>
    <w:p w:rsidR="00C31B1D" w:rsidRDefault="00C31B1D" w:rsidP="00D92610">
      <w:pPr>
        <w:ind w:left="851"/>
        <w:jc w:val="both"/>
        <w:rPr>
          <w:sz w:val="24"/>
        </w:rPr>
      </w:pPr>
      <w:r>
        <w:rPr>
          <w:sz w:val="24"/>
        </w:rPr>
        <w:t>Le parti convengono di costituire il Comitato Paritetico Nazionale per le Pari Opportunità con il compito di individuare e proporre alle parti stipulanti strumenti e iniziative dirette a promuovere comportamenti e azioni positive coerenti con i principi di parità di cui alla legge 9.12.1977, n. 903 e alla legge 10.4.1991, n. 125 e successive modifiche ed integrazioni, nonché i principi di pari opportunità nell'accesso al lavoro, nelle organizzazioni e condizioni di impiego, e nella formazione di percorsi professionali.</w:t>
      </w:r>
    </w:p>
    <w:p w:rsidR="00C31B1D" w:rsidRDefault="00C31B1D" w:rsidP="00D92610">
      <w:pPr>
        <w:ind w:left="851"/>
        <w:jc w:val="both"/>
        <w:rPr>
          <w:sz w:val="24"/>
        </w:rPr>
      </w:pPr>
    </w:p>
    <w:p w:rsidR="00C31B1D" w:rsidRDefault="00C31B1D" w:rsidP="00D92610">
      <w:pPr>
        <w:ind w:left="851"/>
        <w:jc w:val="both"/>
        <w:rPr>
          <w:sz w:val="24"/>
        </w:rPr>
      </w:pPr>
      <w:r>
        <w:rPr>
          <w:sz w:val="24"/>
        </w:rPr>
        <w:t>Il Comitato Paritetico per le Pari Opportunità sarà composto da una rappresentante per ciascuna Organizzazione Sindacale stipulante il CCNL e da un eguale numero complessivo di componenti di parte imprenditoriale.</w:t>
      </w:r>
    </w:p>
    <w:p w:rsidR="00C31B1D" w:rsidRDefault="00C31B1D" w:rsidP="00D92610">
      <w:pPr>
        <w:ind w:left="851"/>
        <w:jc w:val="both"/>
        <w:rPr>
          <w:sz w:val="24"/>
        </w:rPr>
      </w:pPr>
    </w:p>
    <w:p w:rsidR="00C31B1D" w:rsidRDefault="00C31B1D" w:rsidP="00D92610">
      <w:pPr>
        <w:ind w:left="851"/>
        <w:jc w:val="both"/>
        <w:rPr>
          <w:sz w:val="24"/>
        </w:rPr>
      </w:pPr>
      <w:r>
        <w:rPr>
          <w:sz w:val="24"/>
        </w:rPr>
        <w:t>Il Comitato opera:</w:t>
      </w:r>
    </w:p>
    <w:p w:rsidR="00C31B1D" w:rsidRDefault="00C31B1D" w:rsidP="00D92610">
      <w:pPr>
        <w:ind w:left="851"/>
        <w:jc w:val="both"/>
        <w:rPr>
          <w:sz w:val="24"/>
        </w:rPr>
      </w:pPr>
    </w:p>
    <w:p w:rsidR="00C31B1D" w:rsidRDefault="00C31B1D" w:rsidP="00D92610">
      <w:pPr>
        <w:numPr>
          <w:ilvl w:val="0"/>
          <w:numId w:val="2"/>
        </w:numPr>
        <w:tabs>
          <w:tab w:val="clear" w:pos="360"/>
          <w:tab w:val="num" w:pos="-2552"/>
        </w:tabs>
        <w:ind w:left="1276" w:hanging="425"/>
        <w:jc w:val="both"/>
        <w:rPr>
          <w:sz w:val="24"/>
        </w:rPr>
      </w:pPr>
      <w:r>
        <w:rPr>
          <w:sz w:val="24"/>
        </w:rPr>
        <w:t>studiando le caratteristiche del mercato del lavoro e l'andamento dell'occupazione femminile nel settore con riferimento alle diverse tipologie di rapporto di lavoro (contratti di formazione e lavoro, contratti part-time, apprendistato, tempo determinato ecc.) ed all'utilizzo degli strumenti atti a favorire l'inserimento e lo sviluppo del lavoro femminile e per fronteggiare crisi, ristrutturazioni, riorganizzazioni o conversioni aziendali, utilizzando i dati dell'Osservatorio Nazionale al quale potrà partecipare con un proprio rappresentante in qualità di uditore;</w:t>
      </w:r>
    </w:p>
    <w:p w:rsidR="00C31B1D" w:rsidRDefault="00C31B1D" w:rsidP="00D92610">
      <w:pPr>
        <w:numPr>
          <w:ilvl w:val="0"/>
          <w:numId w:val="2"/>
        </w:numPr>
        <w:tabs>
          <w:tab w:val="clear" w:pos="360"/>
          <w:tab w:val="num" w:pos="-2552"/>
        </w:tabs>
        <w:ind w:left="1276" w:hanging="425"/>
        <w:jc w:val="both"/>
        <w:rPr>
          <w:sz w:val="24"/>
        </w:rPr>
      </w:pPr>
      <w:r>
        <w:rPr>
          <w:sz w:val="24"/>
        </w:rPr>
        <w:t>seguendo l'evoluzione della legislazione italiana ed estera in materia di pari opportunità nel lavoro anche in riferimento al programma di azione dell’Unione Europea 1991-1995 e successivo, nonché al programma di azione per l'attuazione della Carta dei Diritti Sociali Fondamentali dell'Unione Europea;</w:t>
      </w:r>
    </w:p>
    <w:p w:rsidR="00C31B1D" w:rsidRDefault="00C31B1D" w:rsidP="00C31B1D">
      <w:pPr>
        <w:jc w:val="both"/>
        <w:rPr>
          <w:sz w:val="24"/>
        </w:rPr>
      </w:pPr>
    </w:p>
    <w:p w:rsidR="00C31B1D" w:rsidRDefault="00C31B1D" w:rsidP="00D92610">
      <w:pPr>
        <w:ind w:left="851"/>
        <w:jc w:val="both"/>
        <w:rPr>
          <w:sz w:val="24"/>
        </w:rPr>
      </w:pPr>
      <w:r>
        <w:rPr>
          <w:sz w:val="24"/>
        </w:rPr>
        <w:t>con il compito di:</w:t>
      </w:r>
    </w:p>
    <w:p w:rsidR="00C31B1D" w:rsidRDefault="00C31B1D" w:rsidP="00C31B1D">
      <w:pPr>
        <w:jc w:val="both"/>
        <w:rPr>
          <w:sz w:val="24"/>
        </w:rPr>
      </w:pPr>
    </w:p>
    <w:p w:rsidR="00C31B1D" w:rsidRDefault="00C31B1D" w:rsidP="00D92610">
      <w:pPr>
        <w:numPr>
          <w:ilvl w:val="0"/>
          <w:numId w:val="3"/>
        </w:numPr>
        <w:tabs>
          <w:tab w:val="clear" w:pos="360"/>
        </w:tabs>
        <w:ind w:left="1276" w:hanging="425"/>
        <w:jc w:val="both"/>
        <w:rPr>
          <w:sz w:val="24"/>
        </w:rPr>
      </w:pPr>
      <w:r>
        <w:rPr>
          <w:sz w:val="24"/>
        </w:rPr>
        <w:t>analizzare le caratteristiche della presenza femminile nel settore ed individuare iniziative in materia di orientamento e formazione professionale al fine di agevolare l'incontro tra domanda ed offerta di lavoro, favorire la diversificazione delle scelte lavorative e l'accesso a nuove professionalità, con particolare attenzione alle realtà aziendali interessate da processi di ristrutturazione e riorganizzazione;</w:t>
      </w:r>
    </w:p>
    <w:p w:rsidR="00C31B1D" w:rsidRDefault="00C31B1D" w:rsidP="00D92610">
      <w:pPr>
        <w:numPr>
          <w:ilvl w:val="0"/>
          <w:numId w:val="3"/>
        </w:numPr>
        <w:tabs>
          <w:tab w:val="clear" w:pos="360"/>
        </w:tabs>
        <w:ind w:left="1276" w:hanging="425"/>
        <w:jc w:val="both"/>
        <w:rPr>
          <w:sz w:val="24"/>
        </w:rPr>
      </w:pPr>
      <w:r>
        <w:rPr>
          <w:sz w:val="24"/>
        </w:rPr>
        <w:t>promuovere indirizzi generali idonei a facilitare il reinserimento delle lavoratrici dopo l'assenza per maternità e a salvaguardare la professionalità;</w:t>
      </w:r>
    </w:p>
    <w:p w:rsidR="00C31B1D" w:rsidRDefault="00C31B1D" w:rsidP="00D92610">
      <w:pPr>
        <w:numPr>
          <w:ilvl w:val="0"/>
          <w:numId w:val="3"/>
        </w:numPr>
        <w:tabs>
          <w:tab w:val="clear" w:pos="360"/>
        </w:tabs>
        <w:ind w:left="1276" w:hanging="425"/>
        <w:jc w:val="both"/>
        <w:rPr>
          <w:sz w:val="24"/>
        </w:rPr>
      </w:pPr>
      <w:r>
        <w:rPr>
          <w:sz w:val="24"/>
        </w:rPr>
        <w:t>individuare iniziative volte a favorire l'occupazione femminile anche in ruoli connessi alle nuove tecnologie;</w:t>
      </w:r>
    </w:p>
    <w:p w:rsidR="00C31B1D" w:rsidRDefault="00C31B1D" w:rsidP="00D92610">
      <w:pPr>
        <w:numPr>
          <w:ilvl w:val="0"/>
          <w:numId w:val="3"/>
        </w:numPr>
        <w:tabs>
          <w:tab w:val="clear" w:pos="360"/>
        </w:tabs>
        <w:ind w:left="1276" w:hanging="425"/>
        <w:jc w:val="both"/>
        <w:rPr>
          <w:sz w:val="24"/>
        </w:rPr>
      </w:pPr>
      <w:r>
        <w:rPr>
          <w:sz w:val="24"/>
        </w:rPr>
        <w:t>mantenere il collegamento e la diffusione di informazioni e progetti con i CPO aziendali ove costituiti;</w:t>
      </w:r>
    </w:p>
    <w:p w:rsidR="00C31B1D" w:rsidRDefault="00C31B1D" w:rsidP="00D92610">
      <w:pPr>
        <w:numPr>
          <w:ilvl w:val="0"/>
          <w:numId w:val="3"/>
        </w:numPr>
        <w:tabs>
          <w:tab w:val="clear" w:pos="360"/>
        </w:tabs>
        <w:ind w:left="1276" w:hanging="425"/>
        <w:jc w:val="both"/>
        <w:rPr>
          <w:sz w:val="24"/>
        </w:rPr>
      </w:pPr>
      <w:r>
        <w:rPr>
          <w:sz w:val="24"/>
        </w:rPr>
        <w:t>raccogliere e segnalare alle parti stipulanti il presente CCNL le iniziative di azioni positive adottate nelle aziende ferroviarie con l'indicazione dei risultati che ne sono conseguiti;</w:t>
      </w:r>
    </w:p>
    <w:p w:rsidR="00C31B1D" w:rsidRDefault="00C31B1D" w:rsidP="00D92610">
      <w:pPr>
        <w:numPr>
          <w:ilvl w:val="0"/>
          <w:numId w:val="3"/>
        </w:numPr>
        <w:tabs>
          <w:tab w:val="clear" w:pos="360"/>
        </w:tabs>
        <w:ind w:left="1276" w:hanging="425"/>
        <w:jc w:val="both"/>
        <w:rPr>
          <w:sz w:val="24"/>
        </w:rPr>
      </w:pPr>
      <w:r>
        <w:rPr>
          <w:sz w:val="24"/>
        </w:rPr>
        <w:t>individuare orientamenti ed indirizzi generali in materia di informazione e formazione per promuovere comportamenti coerenti con i principi di pari opportunità nel lavoro;</w:t>
      </w:r>
    </w:p>
    <w:p w:rsidR="00C31B1D" w:rsidRDefault="00C31B1D" w:rsidP="00D92610">
      <w:pPr>
        <w:numPr>
          <w:ilvl w:val="0"/>
          <w:numId w:val="3"/>
        </w:numPr>
        <w:tabs>
          <w:tab w:val="clear" w:pos="360"/>
        </w:tabs>
        <w:ind w:left="1276" w:hanging="425"/>
        <w:jc w:val="both"/>
        <w:rPr>
          <w:sz w:val="24"/>
        </w:rPr>
      </w:pPr>
      <w:r>
        <w:rPr>
          <w:sz w:val="24"/>
        </w:rPr>
        <w:t>proporre iniziative ai fini della prevenzione di forme di molestie sessuali nei luoghi di lavoro anche attraverso ricerche sulla diffusione e le caratteristiche del fenomeno. Al fine di promuovere comportamenti coerenti con gli obiettivi di tutela della dignità delle donne e degli uomini nell'ambiente di lavoro si terrà conto dei principi espressi dalla Unione Europea nella risoluzione del Consiglio del 29 maggio 1990 e nella raccomandazione della Commissione del 27 novembre 1991 in materia.</w:t>
      </w:r>
    </w:p>
    <w:p w:rsidR="00C31B1D" w:rsidRDefault="00C31B1D" w:rsidP="00C31B1D">
      <w:pPr>
        <w:jc w:val="both"/>
        <w:rPr>
          <w:sz w:val="24"/>
        </w:rPr>
      </w:pPr>
    </w:p>
    <w:p w:rsidR="00C31B1D" w:rsidRDefault="00C31B1D" w:rsidP="00D92610">
      <w:pPr>
        <w:ind w:left="851"/>
        <w:jc w:val="both"/>
        <w:rPr>
          <w:sz w:val="24"/>
        </w:rPr>
      </w:pPr>
      <w:r>
        <w:rPr>
          <w:sz w:val="24"/>
        </w:rPr>
        <w:t>Il Comitato si riunisce di norma trimestralmente o su richiesta di una delle parti, presieduto a turno da un componente dei due gruppi, delibera per l'attuazione dei compiti sopraindicati ed annualmente riferisce sulla propria attività alle parti che hanno stipulato il presente CCNL.</w:t>
      </w:r>
    </w:p>
    <w:p w:rsidR="00C31B1D" w:rsidRDefault="00C31B1D" w:rsidP="00D92610">
      <w:pPr>
        <w:ind w:left="851"/>
        <w:jc w:val="both"/>
        <w:rPr>
          <w:sz w:val="24"/>
        </w:rPr>
      </w:pPr>
      <w:r>
        <w:rPr>
          <w:sz w:val="24"/>
        </w:rPr>
        <w:t>Esso si potrà avvalere, per lo svolgimento dei propri compiti, del contributo di esperti nominati di comune accordo.</w:t>
      </w:r>
    </w:p>
    <w:p w:rsidR="00C31B1D" w:rsidRDefault="00C31B1D" w:rsidP="00D92610">
      <w:pPr>
        <w:ind w:left="851"/>
        <w:jc w:val="both"/>
        <w:rPr>
          <w:sz w:val="24"/>
        </w:rPr>
      </w:pPr>
      <w:r>
        <w:rPr>
          <w:sz w:val="24"/>
        </w:rPr>
        <w:t>Le proposte del CPO saranno oggetto di esame tra le parti stipulanti al fine di valutare le eventuali iniziative conseguenti.</w:t>
      </w:r>
    </w:p>
    <w:p w:rsidR="00C31B1D" w:rsidRDefault="00C31B1D" w:rsidP="00D92610">
      <w:pPr>
        <w:ind w:left="851"/>
        <w:jc w:val="both"/>
        <w:rPr>
          <w:sz w:val="24"/>
        </w:rPr>
      </w:pPr>
    </w:p>
    <w:p w:rsidR="00C31B1D" w:rsidRDefault="00C31B1D" w:rsidP="00D92610">
      <w:pPr>
        <w:ind w:left="851"/>
        <w:jc w:val="both"/>
        <w:rPr>
          <w:sz w:val="24"/>
        </w:rPr>
      </w:pPr>
      <w:r>
        <w:rPr>
          <w:sz w:val="24"/>
        </w:rPr>
        <w:t>Tre mesi prima della scadenza del presente CCNL, il Comitato terminerà i propri lavori presentando un rapporto conclusivo completo dei materiali raccolti ed elaborati: in questa sede verranno presentate tanto le proposte deliberate quanto le eventuali valutazioni che costituiscono le posizioni di una delle componenti.</w:t>
      </w:r>
    </w:p>
    <w:p w:rsidR="00C31B1D" w:rsidRDefault="00C31B1D" w:rsidP="00D92610">
      <w:pPr>
        <w:ind w:left="851"/>
        <w:jc w:val="both"/>
        <w:rPr>
          <w:sz w:val="24"/>
        </w:rPr>
      </w:pPr>
    </w:p>
    <w:p w:rsidR="00C31B1D" w:rsidRDefault="00C31B1D" w:rsidP="00D92610">
      <w:pPr>
        <w:pStyle w:val="Corpodeltesto2"/>
        <w:ind w:left="851"/>
      </w:pPr>
      <w:r>
        <w:t>Con le stesse finalità e con i compiti e le modalità di funzionamento indicati, salvo ulteriori specificazioni in relazione alle diverse realtà di impresa, si potranno costituire i CPO aziendali.</w:t>
      </w:r>
      <w:r>
        <w:rPr>
          <w:b/>
        </w:rPr>
        <w:t xml:space="preserve"> </w:t>
      </w:r>
    </w:p>
    <w:p w:rsidR="00C31B1D" w:rsidRDefault="00C31B1D" w:rsidP="00D92610">
      <w:pPr>
        <w:ind w:left="851"/>
        <w:jc w:val="both"/>
        <w:rPr>
          <w:sz w:val="24"/>
        </w:rPr>
      </w:pPr>
      <w:r>
        <w:rPr>
          <w:sz w:val="24"/>
        </w:rPr>
        <w:t>Nel caso di aziende che facciano parte di Gruppi societari, qualora il Gruppo societario occupi complessivamente almeno 1.200 dipendenti nell'intero Gruppo potrà essere costituito un solo CPO.</w:t>
      </w:r>
    </w:p>
    <w:p w:rsidR="00C31B1D" w:rsidRDefault="00C31B1D" w:rsidP="00D92610">
      <w:pPr>
        <w:ind w:left="851"/>
        <w:jc w:val="both"/>
        <w:rPr>
          <w:b/>
          <w:sz w:val="24"/>
        </w:rPr>
      </w:pPr>
      <w:r>
        <w:rPr>
          <w:sz w:val="24"/>
        </w:rPr>
        <w:t>Sono fatti salvi gli assetti in atto alla data di stipula del presente CCNL.</w:t>
      </w:r>
    </w:p>
    <w:p w:rsidR="00C31B1D" w:rsidRDefault="00C31B1D" w:rsidP="00D92610">
      <w:pPr>
        <w:ind w:left="851"/>
      </w:pPr>
    </w:p>
    <w:p w:rsidR="00D92610" w:rsidRPr="00C31B1D" w:rsidRDefault="00D92610" w:rsidP="00C31B1D"/>
    <w:sectPr w:rsidR="00D92610" w:rsidRPr="00C31B1D" w:rsidSect="00BA01BF">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82A" w:rsidRDefault="00A9682A" w:rsidP="00B63042">
      <w:r>
        <w:separator/>
      </w:r>
    </w:p>
  </w:endnote>
  <w:endnote w:type="continuationSeparator" w:id="0">
    <w:p w:rsidR="00A9682A" w:rsidRDefault="00A9682A" w:rsidP="00B630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8079"/>
      <w:docPartObj>
        <w:docPartGallery w:val="Page Numbers (Bottom of Page)"/>
        <w:docPartUnique/>
      </w:docPartObj>
    </w:sdtPr>
    <w:sdtContent>
      <w:p w:rsidR="00B63042" w:rsidRDefault="008334D9">
        <w:pPr>
          <w:pStyle w:val="Pidipagina"/>
          <w:jc w:val="right"/>
        </w:pPr>
        <w:fldSimple w:instr=" PAGE   \* MERGEFORMAT ">
          <w:r w:rsidR="003444FD">
            <w:rPr>
              <w:noProof/>
            </w:rPr>
            <w:t>1</w:t>
          </w:r>
        </w:fldSimple>
      </w:p>
    </w:sdtContent>
  </w:sdt>
  <w:p w:rsidR="00B63042" w:rsidRDefault="00B6304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82A" w:rsidRDefault="00A9682A" w:rsidP="00B63042">
      <w:r>
        <w:separator/>
      </w:r>
    </w:p>
  </w:footnote>
  <w:footnote w:type="continuationSeparator" w:id="0">
    <w:p w:rsidR="00A9682A" w:rsidRDefault="00A9682A" w:rsidP="00B630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042" w:rsidRPr="00B340AB" w:rsidRDefault="00B63042">
    <w:pPr>
      <w:pStyle w:val="Intestazione"/>
      <w:rPr>
        <w:i/>
      </w:rPr>
    </w:pPr>
    <w:r w:rsidRPr="00B340AB">
      <w:rPr>
        <w:i/>
      </w:rPr>
      <w:ptab w:relativeTo="margin" w:alignment="center" w:leader="none"/>
    </w:r>
    <w:r w:rsidRPr="00B340AB">
      <w:rPr>
        <w:i/>
      </w:rPr>
      <w:ptab w:relativeTo="margin" w:alignment="right" w:leader="none"/>
    </w:r>
    <w:r w:rsidR="00B340AB" w:rsidRPr="00B340AB">
      <w:rPr>
        <w:i/>
      </w:rPr>
      <w:t xml:space="preserve">CCNL AF – </w:t>
    </w:r>
    <w:r w:rsidR="003444FD">
      <w:rPr>
        <w:i/>
      </w:rPr>
      <w:t>29</w:t>
    </w:r>
    <w:r w:rsidR="00B340AB" w:rsidRPr="00B340AB">
      <w:rPr>
        <w:i/>
      </w:rPr>
      <w:t>.</w:t>
    </w:r>
    <w:r w:rsidR="003444FD">
      <w:rPr>
        <w:i/>
      </w:rPr>
      <w:t>3</w:t>
    </w:r>
    <w:r w:rsidR="00B340AB" w:rsidRPr="00B340AB">
      <w:rPr>
        <w:i/>
      </w:rPr>
      <w:t>.201</w:t>
    </w:r>
    <w:r w:rsidR="003444FD">
      <w:rPr>
        <w:i/>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7A0A"/>
    <w:multiLevelType w:val="singleLevel"/>
    <w:tmpl w:val="04100017"/>
    <w:lvl w:ilvl="0">
      <w:start w:val="1"/>
      <w:numFmt w:val="lowerLetter"/>
      <w:lvlText w:val="%1)"/>
      <w:lvlJc w:val="left"/>
      <w:pPr>
        <w:tabs>
          <w:tab w:val="num" w:pos="360"/>
        </w:tabs>
        <w:ind w:left="360" w:hanging="360"/>
      </w:pPr>
    </w:lvl>
  </w:abstractNum>
  <w:abstractNum w:abstractNumId="1">
    <w:nsid w:val="3EC422A7"/>
    <w:multiLevelType w:val="singleLevel"/>
    <w:tmpl w:val="0410000F"/>
    <w:lvl w:ilvl="0">
      <w:start w:val="1"/>
      <w:numFmt w:val="decimal"/>
      <w:lvlText w:val="%1."/>
      <w:lvlJc w:val="left"/>
      <w:pPr>
        <w:tabs>
          <w:tab w:val="num" w:pos="360"/>
        </w:tabs>
        <w:ind w:left="360" w:hanging="360"/>
      </w:pPr>
    </w:lvl>
  </w:abstractNum>
  <w:abstractNum w:abstractNumId="2">
    <w:nsid w:val="5CE51684"/>
    <w:multiLevelType w:val="hybridMultilevel"/>
    <w:tmpl w:val="0F22FD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4B36F2A"/>
    <w:multiLevelType w:val="singleLevel"/>
    <w:tmpl w:val="1A2ED562"/>
    <w:lvl w:ilvl="0">
      <w:start w:val="1"/>
      <w:numFmt w:val="decimal"/>
      <w:lvlText w:val="%1)"/>
      <w:lvlJc w:val="left"/>
      <w:pPr>
        <w:tabs>
          <w:tab w:val="num" w:pos="360"/>
        </w:tabs>
        <w:ind w:left="360" w:hanging="360"/>
      </w:pPr>
      <w:rPr>
        <w:rFonts w:hint="default"/>
      </w:rPr>
    </w:lvl>
  </w:abstractNum>
  <w:abstractNum w:abstractNumId="4">
    <w:nsid w:val="78757382"/>
    <w:multiLevelType w:val="singleLevel"/>
    <w:tmpl w:val="000400EE"/>
    <w:lvl w:ilvl="0">
      <w:start w:val="1"/>
      <w:numFmt w:val="lowerLetter"/>
      <w:lvlText w:val="%1)"/>
      <w:lvlJc w:val="left"/>
      <w:pPr>
        <w:tabs>
          <w:tab w:val="num" w:pos="360"/>
        </w:tabs>
        <w:ind w:left="360" w:hanging="360"/>
      </w:pPr>
      <w:rPr>
        <w:rFont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C31B1D"/>
    <w:rsid w:val="000157F8"/>
    <w:rsid w:val="002B25AC"/>
    <w:rsid w:val="002D03F3"/>
    <w:rsid w:val="003444FD"/>
    <w:rsid w:val="007020F7"/>
    <w:rsid w:val="008334D9"/>
    <w:rsid w:val="00A9682A"/>
    <w:rsid w:val="00B340AB"/>
    <w:rsid w:val="00B63042"/>
    <w:rsid w:val="00BA01BF"/>
    <w:rsid w:val="00C31B1D"/>
    <w:rsid w:val="00D92610"/>
    <w:rsid w:val="00F84B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1B1D"/>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C31B1D"/>
    <w:pPr>
      <w:keepNext/>
      <w:ind w:left="1985"/>
      <w:outlineLvl w:val="2"/>
    </w:pPr>
    <w:rPr>
      <w:sz w:val="24"/>
    </w:rPr>
  </w:style>
  <w:style w:type="paragraph" w:styleId="Titolo4">
    <w:name w:val="heading 4"/>
    <w:basedOn w:val="Normale"/>
    <w:next w:val="Normale"/>
    <w:link w:val="Titolo4Carattere"/>
    <w:qFormat/>
    <w:rsid w:val="00C31B1D"/>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C31B1D"/>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C31B1D"/>
    <w:rPr>
      <w:rFonts w:ascii="Times New Roman" w:eastAsia="Times New Roman" w:hAnsi="Times New Roman" w:cs="Times New Roman"/>
      <w:b/>
      <w:bCs/>
      <w:sz w:val="28"/>
      <w:szCs w:val="28"/>
      <w:lang w:eastAsia="it-IT"/>
    </w:rPr>
  </w:style>
  <w:style w:type="paragraph" w:styleId="Rientrocorpodeltesto2">
    <w:name w:val="Body Text Indent 2"/>
    <w:basedOn w:val="Normale"/>
    <w:link w:val="Rientrocorpodeltesto2Carattere"/>
    <w:rsid w:val="00C31B1D"/>
    <w:pPr>
      <w:ind w:left="1276" w:hanging="1276"/>
    </w:pPr>
    <w:rPr>
      <w:b/>
      <w:sz w:val="24"/>
    </w:rPr>
  </w:style>
  <w:style w:type="character" w:customStyle="1" w:styleId="Rientrocorpodeltesto2Carattere">
    <w:name w:val="Rientro corpo del testo 2 Carattere"/>
    <w:basedOn w:val="Carpredefinitoparagrafo"/>
    <w:link w:val="Rientrocorpodeltesto2"/>
    <w:rsid w:val="00C31B1D"/>
    <w:rPr>
      <w:rFonts w:ascii="Times New Roman" w:eastAsia="Times New Roman" w:hAnsi="Times New Roman" w:cs="Times New Roman"/>
      <w:b/>
      <w:sz w:val="24"/>
      <w:szCs w:val="20"/>
      <w:lang w:eastAsia="it-IT"/>
    </w:rPr>
  </w:style>
  <w:style w:type="paragraph" w:styleId="Corpodeltesto2">
    <w:name w:val="Body Text 2"/>
    <w:basedOn w:val="Normale"/>
    <w:link w:val="Corpodeltesto2Carattere"/>
    <w:rsid w:val="00C31B1D"/>
    <w:pPr>
      <w:jc w:val="both"/>
    </w:pPr>
    <w:rPr>
      <w:sz w:val="24"/>
    </w:rPr>
  </w:style>
  <w:style w:type="character" w:customStyle="1" w:styleId="Corpodeltesto2Carattere">
    <w:name w:val="Corpo del testo 2 Carattere"/>
    <w:basedOn w:val="Carpredefinitoparagrafo"/>
    <w:link w:val="Corpodeltesto2"/>
    <w:rsid w:val="00C31B1D"/>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B6304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6304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63042"/>
    <w:pPr>
      <w:tabs>
        <w:tab w:val="center" w:pos="4819"/>
        <w:tab w:val="right" w:pos="9638"/>
      </w:tabs>
    </w:pPr>
  </w:style>
  <w:style w:type="character" w:customStyle="1" w:styleId="PidipaginaCarattere">
    <w:name w:val="Piè di pagina Carattere"/>
    <w:basedOn w:val="Carpredefinitoparagrafo"/>
    <w:link w:val="Pidipagina"/>
    <w:uiPriority w:val="99"/>
    <w:rsid w:val="00B63042"/>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B630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3042"/>
    <w:rPr>
      <w:rFonts w:ascii="Tahoma" w:eastAsia="Times New Roman" w:hAnsi="Tahoma" w:cs="Tahoma"/>
      <w:sz w:val="16"/>
      <w:szCs w:val="16"/>
      <w:lang w:eastAsia="it-IT"/>
    </w:rPr>
  </w:style>
  <w:style w:type="paragraph" w:styleId="Paragrafoelenco">
    <w:name w:val="List Paragraph"/>
    <w:basedOn w:val="Normale"/>
    <w:uiPriority w:val="34"/>
    <w:qFormat/>
    <w:rsid w:val="00D926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1422</Words>
  <Characters>8112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7</cp:revision>
  <cp:lastPrinted>2012-03-28T13:10:00Z</cp:lastPrinted>
  <dcterms:created xsi:type="dcterms:W3CDTF">2011-10-15T18:03:00Z</dcterms:created>
  <dcterms:modified xsi:type="dcterms:W3CDTF">2012-03-28T13:10:00Z</dcterms:modified>
</cp:coreProperties>
</file>