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DFF" w:rsidRDefault="00515DFF" w:rsidP="00515DFF">
      <w:pPr>
        <w:pStyle w:val="Titolo2"/>
        <w:ind w:left="2268" w:hanging="1418"/>
        <w:rPr>
          <w:b/>
        </w:rPr>
      </w:pPr>
      <w:r>
        <w:rPr>
          <w:b/>
        </w:rPr>
        <w:t>ART. 7</w:t>
      </w:r>
      <w:r w:rsidR="001F4C82">
        <w:rPr>
          <w:b/>
        </w:rPr>
        <w:t>6</w:t>
      </w:r>
      <w:r>
        <w:rPr>
          <w:b/>
        </w:rPr>
        <w:t xml:space="preserve"> - </w:t>
      </w:r>
      <w:r>
        <w:rPr>
          <w:b/>
        </w:rPr>
        <w:tab/>
        <w:t xml:space="preserve">TRASFERTA E ALTRI TRATTAMENTI PER </w:t>
      </w:r>
    </w:p>
    <w:p w:rsidR="00515DFF" w:rsidRDefault="00515DFF" w:rsidP="00515DFF">
      <w:pPr>
        <w:pStyle w:val="Titolo2"/>
        <w:ind w:left="2268" w:firstLine="0"/>
        <w:rPr>
          <w:b/>
        </w:rPr>
      </w:pPr>
      <w:r>
        <w:rPr>
          <w:b/>
        </w:rPr>
        <w:t>ATTIVITA’ FUORI SEDE</w:t>
      </w:r>
    </w:p>
    <w:p w:rsidR="00515DFF" w:rsidRDefault="00515DFF" w:rsidP="00515DFF">
      <w:pPr>
        <w:jc w:val="both"/>
        <w:rPr>
          <w:sz w:val="24"/>
        </w:rPr>
      </w:pPr>
    </w:p>
    <w:p w:rsidR="00515DFF" w:rsidRDefault="00515DFF" w:rsidP="00515DFF">
      <w:pPr>
        <w:numPr>
          <w:ilvl w:val="0"/>
          <w:numId w:val="1"/>
        </w:numPr>
        <w:tabs>
          <w:tab w:val="clear" w:pos="360"/>
          <w:tab w:val="num" w:pos="-2552"/>
        </w:tabs>
        <w:ind w:left="1276" w:hanging="426"/>
        <w:jc w:val="both"/>
        <w:rPr>
          <w:b/>
          <w:i/>
          <w:sz w:val="24"/>
        </w:rPr>
      </w:pPr>
      <w:r>
        <w:rPr>
          <w:b/>
          <w:i/>
          <w:sz w:val="24"/>
        </w:rPr>
        <w:t>Trasferta</w:t>
      </w:r>
    </w:p>
    <w:p w:rsidR="00515DFF" w:rsidRDefault="00515DFF" w:rsidP="00515DFF">
      <w:pPr>
        <w:jc w:val="both"/>
        <w:rPr>
          <w:b/>
          <w:i/>
          <w:sz w:val="24"/>
        </w:rPr>
      </w:pPr>
    </w:p>
    <w:p w:rsidR="00515DFF" w:rsidRDefault="00515DFF" w:rsidP="00515DFF">
      <w:pPr>
        <w:ind w:left="1701" w:hanging="425"/>
        <w:jc w:val="both"/>
        <w:rPr>
          <w:sz w:val="24"/>
        </w:rPr>
      </w:pPr>
      <w:r>
        <w:rPr>
          <w:sz w:val="24"/>
        </w:rPr>
        <w:t>1.1</w:t>
      </w:r>
      <w:r>
        <w:rPr>
          <w:sz w:val="24"/>
        </w:rPr>
        <w:tab/>
        <w:t xml:space="preserve">Ai lavoratori che per esigenze di servizio vengano inviati temporaneamente dall’azienda fuori dal comune della sede di lavoro formalmente assegnata e per i quali non sussistano le condizioni di impiego di cui ai successivi punti 2 e 3, </w:t>
      </w:r>
      <w:r w:rsidR="001D6292">
        <w:rPr>
          <w:b/>
          <w:sz w:val="24"/>
        </w:rPr>
        <w:t>verranno</w:t>
      </w:r>
      <w:r>
        <w:rPr>
          <w:sz w:val="24"/>
        </w:rPr>
        <w:t xml:space="preserve"> corrispost</w:t>
      </w:r>
      <w:r w:rsidR="001D6292">
        <w:rPr>
          <w:b/>
          <w:sz w:val="24"/>
        </w:rPr>
        <w:t>i</w:t>
      </w:r>
      <w:r>
        <w:rPr>
          <w:sz w:val="24"/>
        </w:rPr>
        <w:t>:</w:t>
      </w:r>
    </w:p>
    <w:p w:rsidR="00515DFF" w:rsidRDefault="00515DFF" w:rsidP="00515DFF">
      <w:pPr>
        <w:ind w:left="851" w:hanging="425"/>
        <w:jc w:val="both"/>
        <w:rPr>
          <w:sz w:val="24"/>
        </w:rPr>
      </w:pPr>
    </w:p>
    <w:p w:rsidR="00515DFF" w:rsidRDefault="00515DFF" w:rsidP="00515DFF">
      <w:pPr>
        <w:numPr>
          <w:ilvl w:val="0"/>
          <w:numId w:val="2"/>
        </w:numPr>
        <w:tabs>
          <w:tab w:val="clear" w:pos="360"/>
        </w:tabs>
        <w:ind w:left="2127" w:hanging="425"/>
        <w:jc w:val="both"/>
        <w:rPr>
          <w:sz w:val="24"/>
        </w:rPr>
      </w:pPr>
      <w:r>
        <w:rPr>
          <w:sz w:val="24"/>
        </w:rPr>
        <w:t>il rimborso delle spese di viaggio preventivamente autorizzate.</w:t>
      </w:r>
    </w:p>
    <w:p w:rsidR="00515DFF" w:rsidRDefault="00515DFF" w:rsidP="00515DFF">
      <w:pPr>
        <w:ind w:left="2127"/>
        <w:jc w:val="both"/>
        <w:rPr>
          <w:sz w:val="24"/>
        </w:rPr>
      </w:pPr>
      <w:r>
        <w:rPr>
          <w:sz w:val="24"/>
        </w:rPr>
        <w:t>Nel caso l’azienda autorizzi il lavoratore all’uso del proprio mezzo per recarsi in trasferta, allo stesso saranno rimborsate le relative spese con riferimento ai Km. percorsi, sulla base del costo di esercizio previsto dalle tabelle ACI in vigore al 1° gennaio di ciascun anno;</w:t>
      </w:r>
    </w:p>
    <w:p w:rsidR="00515DFF" w:rsidRDefault="001D6292" w:rsidP="00515DFF">
      <w:pPr>
        <w:numPr>
          <w:ilvl w:val="0"/>
          <w:numId w:val="2"/>
        </w:numPr>
        <w:tabs>
          <w:tab w:val="clear" w:pos="360"/>
        </w:tabs>
        <w:ind w:left="2127" w:hanging="425"/>
        <w:jc w:val="both"/>
        <w:rPr>
          <w:sz w:val="24"/>
        </w:rPr>
      </w:pPr>
      <w:r>
        <w:rPr>
          <w:b/>
          <w:sz w:val="24"/>
        </w:rPr>
        <w:t xml:space="preserve">le spese di pernottamento e prima colazione, di norma prepagate, ovvero </w:t>
      </w:r>
      <w:r w:rsidR="00515DFF">
        <w:rPr>
          <w:sz w:val="24"/>
        </w:rPr>
        <w:t xml:space="preserve">il rimborso delle spese documentate di pernottamento e di prima colazione in albergo, quando per la durata del servizio fuori sede il lavoratore debba sostenere tali spese, fino al limite massimo di  € 60,00 per notte. A tal fine i lavoratori dovranno prioritariamente utilizzare le strutture alberghiere eventualmente indicate dalle aziende;  </w:t>
      </w:r>
    </w:p>
    <w:p w:rsidR="00515DFF" w:rsidRDefault="00515DFF" w:rsidP="00515DFF">
      <w:pPr>
        <w:numPr>
          <w:ilvl w:val="0"/>
          <w:numId w:val="2"/>
        </w:numPr>
        <w:tabs>
          <w:tab w:val="clear" w:pos="360"/>
        </w:tabs>
        <w:ind w:left="2127" w:hanging="425"/>
        <w:jc w:val="both"/>
        <w:rPr>
          <w:sz w:val="24"/>
        </w:rPr>
      </w:pPr>
      <w:r>
        <w:rPr>
          <w:sz w:val="24"/>
        </w:rPr>
        <w:t xml:space="preserve">il rimborso delle spese documentate di vitto (pranzo e/o cena), quando per la durata del servizio fuori sede il lavoratore debba sostenere tali spese, fino al limite massimo giornaliero di  € 26,00 nel caso di due pasti, o fino al limite massimo di € 15,00 per un solo pasto;  </w:t>
      </w:r>
    </w:p>
    <w:p w:rsidR="00515DFF" w:rsidRDefault="00515DFF" w:rsidP="00515DFF">
      <w:pPr>
        <w:numPr>
          <w:ilvl w:val="0"/>
          <w:numId w:val="2"/>
        </w:numPr>
        <w:tabs>
          <w:tab w:val="clear" w:pos="360"/>
        </w:tabs>
        <w:ind w:left="2127" w:hanging="425"/>
        <w:jc w:val="both"/>
        <w:rPr>
          <w:sz w:val="24"/>
        </w:rPr>
      </w:pPr>
      <w:r>
        <w:rPr>
          <w:sz w:val="24"/>
        </w:rPr>
        <w:t xml:space="preserve">un’indennità di trasferta giornaliera pari a € 32,00, se la durata della trasferta è superiore alle 12 ore. </w:t>
      </w:r>
    </w:p>
    <w:p w:rsidR="00515DFF" w:rsidRDefault="00515DFF" w:rsidP="00515DFF">
      <w:pPr>
        <w:ind w:left="2127"/>
        <w:jc w:val="both"/>
        <w:rPr>
          <w:sz w:val="24"/>
        </w:rPr>
      </w:pPr>
      <w:r>
        <w:rPr>
          <w:sz w:val="24"/>
        </w:rPr>
        <w:t xml:space="preserve">A tal fine la trasferta ha inizio e termine dall’ora di partenza all’ora di arrivo con il mezzo autorizzato dall’azienda per il viaggio come indicate nell’autorizzazione stessa. </w:t>
      </w:r>
    </w:p>
    <w:p w:rsidR="00515DFF" w:rsidRDefault="00515DFF" w:rsidP="00515DFF">
      <w:pPr>
        <w:ind w:left="2127"/>
        <w:jc w:val="both"/>
        <w:rPr>
          <w:sz w:val="24"/>
        </w:rPr>
      </w:pPr>
      <w:r>
        <w:rPr>
          <w:sz w:val="24"/>
        </w:rPr>
        <w:t>Se la trasferta ha durata superiore alle 24 ore, ai fini del calcolo dell’indennità di cui alla presente lettera d), si calcola la durata complessiva della trasferta e si individuano, ai fini della determinazione del numero di giornate, i periodi interi di 24 ore. Per la eventuale frazione residua fino a 12 ore, al lavoratore verrà corrisposto, in aggiunta alla indennità giornaliera intera calcolata con i criteri sopra definiti, l’ulteriore importo correlato proporzionalmente all’indennità giornaliera stessa, sulla base delle ore di trasferta eccedenti, arrotondando ad ora intera la frazione di ora superiore a 30 minuti; la frazione eccedente le 12 ore si arrotonda a giornata intera.</w:t>
      </w:r>
    </w:p>
    <w:p w:rsidR="00515DFF" w:rsidRDefault="00515DFF" w:rsidP="00515DFF">
      <w:pPr>
        <w:ind w:left="1276"/>
        <w:jc w:val="both"/>
        <w:rPr>
          <w:sz w:val="24"/>
        </w:rPr>
      </w:pPr>
    </w:p>
    <w:p w:rsidR="00515DFF" w:rsidRDefault="00515DFF" w:rsidP="00515DFF">
      <w:pPr>
        <w:pStyle w:val="Rientrocorpodeltesto"/>
        <w:ind w:left="1701"/>
      </w:pPr>
      <w:r>
        <w:t xml:space="preserve">Le somme eventualmente eccedenti gli importi di cui alle precedenti lettere b) e c) sono a carico del lavoratore. </w:t>
      </w:r>
    </w:p>
    <w:p w:rsidR="00515DFF" w:rsidRDefault="00515DFF" w:rsidP="00515DFF">
      <w:pPr>
        <w:ind w:left="426"/>
        <w:jc w:val="both"/>
        <w:rPr>
          <w:sz w:val="24"/>
        </w:rPr>
      </w:pPr>
    </w:p>
    <w:p w:rsidR="00515DFF" w:rsidRDefault="00515DFF" w:rsidP="00515DFF">
      <w:pPr>
        <w:ind w:left="1701" w:hanging="425"/>
        <w:jc w:val="both"/>
        <w:rPr>
          <w:sz w:val="24"/>
        </w:rPr>
      </w:pPr>
      <w:r>
        <w:rPr>
          <w:sz w:val="24"/>
        </w:rPr>
        <w:t>1.2</w:t>
      </w:r>
      <w:r>
        <w:rPr>
          <w:sz w:val="24"/>
        </w:rPr>
        <w:tab/>
        <w:t>Per le trasferte di durata fino a 12 ore comprendenti i tempi di spostamento, al lavoratore verrà corrisposto:</w:t>
      </w:r>
    </w:p>
    <w:p w:rsidR="00515DFF" w:rsidRDefault="00515DFF" w:rsidP="00515DFF">
      <w:pPr>
        <w:ind w:left="1701"/>
        <w:jc w:val="both"/>
        <w:rPr>
          <w:sz w:val="24"/>
        </w:rPr>
      </w:pPr>
    </w:p>
    <w:p w:rsidR="00515DFF" w:rsidRDefault="00515DFF" w:rsidP="00515DFF">
      <w:pPr>
        <w:numPr>
          <w:ilvl w:val="0"/>
          <w:numId w:val="3"/>
        </w:numPr>
        <w:tabs>
          <w:tab w:val="clear" w:pos="360"/>
        </w:tabs>
        <w:ind w:left="2127" w:hanging="425"/>
        <w:jc w:val="both"/>
        <w:rPr>
          <w:sz w:val="24"/>
        </w:rPr>
      </w:pPr>
      <w:r>
        <w:rPr>
          <w:sz w:val="24"/>
        </w:rPr>
        <w:t>il rimborso delle spese di viaggio preventivamente autorizzate;</w:t>
      </w:r>
    </w:p>
    <w:p w:rsidR="00515DFF" w:rsidRDefault="00515DFF" w:rsidP="00515DFF">
      <w:pPr>
        <w:ind w:left="2127" w:hanging="425"/>
        <w:jc w:val="both"/>
        <w:rPr>
          <w:sz w:val="24"/>
        </w:rPr>
      </w:pPr>
      <w:r>
        <w:rPr>
          <w:sz w:val="24"/>
        </w:rPr>
        <w:t>b)</w:t>
      </w:r>
      <w:r>
        <w:rPr>
          <w:sz w:val="24"/>
        </w:rPr>
        <w:tab/>
        <w:t>il rimborso delle spese documentate di vitto (1 pasto: pranzo o cena), quando per la durata del servizio fuori sede il lavoratore debba sostenere tale spesa, fino al limite massimo di € 15,00;</w:t>
      </w:r>
    </w:p>
    <w:p w:rsidR="00515DFF" w:rsidRDefault="00515DFF" w:rsidP="00515DFF">
      <w:pPr>
        <w:ind w:left="2127" w:hanging="425"/>
        <w:jc w:val="both"/>
        <w:rPr>
          <w:i/>
          <w:sz w:val="24"/>
        </w:rPr>
      </w:pPr>
      <w:r>
        <w:rPr>
          <w:sz w:val="24"/>
        </w:rPr>
        <w:lastRenderedPageBreak/>
        <w:t xml:space="preserve">c) </w:t>
      </w:r>
      <w:r>
        <w:rPr>
          <w:sz w:val="24"/>
        </w:rPr>
        <w:tab/>
        <w:t xml:space="preserve">il rimborso per spese forfetarie di un importo pari ad € 12,00 quando la trasferta supera complessivamente le quattro ore. </w:t>
      </w:r>
    </w:p>
    <w:p w:rsidR="00515DFF" w:rsidRDefault="00515DFF" w:rsidP="00515DFF">
      <w:pPr>
        <w:ind w:left="1701" w:hanging="425"/>
        <w:jc w:val="both"/>
        <w:rPr>
          <w:b/>
          <w:sz w:val="24"/>
        </w:rPr>
      </w:pPr>
    </w:p>
    <w:p w:rsidR="00515DFF" w:rsidRDefault="00515DFF" w:rsidP="00515DFF">
      <w:pPr>
        <w:ind w:left="1701" w:hanging="425"/>
        <w:jc w:val="both"/>
        <w:rPr>
          <w:sz w:val="24"/>
        </w:rPr>
      </w:pPr>
      <w:r>
        <w:rPr>
          <w:sz w:val="24"/>
        </w:rPr>
        <w:t>1.3</w:t>
      </w:r>
      <w:r>
        <w:rPr>
          <w:sz w:val="24"/>
        </w:rPr>
        <w:tab/>
        <w:t>I trattamenti di cui ai precedenti punti vengono corrisposti anche nei casi in cui il lavoratore debba recarsi in trasferta per:</w:t>
      </w:r>
    </w:p>
    <w:p w:rsidR="00515DFF" w:rsidRDefault="00515DFF" w:rsidP="00515DFF">
      <w:pPr>
        <w:ind w:left="1701" w:hanging="425"/>
        <w:jc w:val="both"/>
        <w:rPr>
          <w:sz w:val="24"/>
        </w:rPr>
      </w:pPr>
    </w:p>
    <w:p w:rsidR="00515DFF" w:rsidRDefault="00515DFF" w:rsidP="00515DFF">
      <w:pPr>
        <w:numPr>
          <w:ilvl w:val="0"/>
          <w:numId w:val="4"/>
        </w:numPr>
        <w:tabs>
          <w:tab w:val="clear" w:pos="2415"/>
          <w:tab w:val="num" w:pos="-2410"/>
        </w:tabs>
        <w:ind w:left="1985" w:hanging="284"/>
        <w:jc w:val="both"/>
        <w:rPr>
          <w:sz w:val="24"/>
        </w:rPr>
      </w:pPr>
      <w:r>
        <w:rPr>
          <w:sz w:val="24"/>
        </w:rPr>
        <w:t>sottoporsi alle visite mediche obbligatorie in relazione alle mansioni svolte;</w:t>
      </w:r>
    </w:p>
    <w:p w:rsidR="00515DFF" w:rsidRDefault="00515DFF" w:rsidP="00515DFF">
      <w:pPr>
        <w:numPr>
          <w:ilvl w:val="0"/>
          <w:numId w:val="4"/>
        </w:numPr>
        <w:tabs>
          <w:tab w:val="clear" w:pos="2415"/>
          <w:tab w:val="num" w:pos="-2410"/>
        </w:tabs>
        <w:ind w:left="1985" w:hanging="284"/>
        <w:jc w:val="both"/>
        <w:rPr>
          <w:sz w:val="24"/>
        </w:rPr>
      </w:pPr>
      <w:r>
        <w:rPr>
          <w:sz w:val="24"/>
        </w:rPr>
        <w:t>partecipare, nell’interesse dell’azienda, a procedimenti giudiziari in qualità di testimone;</w:t>
      </w:r>
    </w:p>
    <w:p w:rsidR="00515DFF" w:rsidRDefault="00515DFF" w:rsidP="00515DFF">
      <w:pPr>
        <w:numPr>
          <w:ilvl w:val="0"/>
          <w:numId w:val="4"/>
        </w:numPr>
        <w:tabs>
          <w:tab w:val="clear" w:pos="2415"/>
          <w:tab w:val="num" w:pos="-2410"/>
        </w:tabs>
        <w:ind w:left="1985" w:hanging="284"/>
        <w:jc w:val="both"/>
        <w:rPr>
          <w:sz w:val="24"/>
        </w:rPr>
      </w:pPr>
      <w:r>
        <w:rPr>
          <w:sz w:val="24"/>
        </w:rPr>
        <w:t>partecipare ad attività di formazione professionale realizzate dall’azienda.</w:t>
      </w:r>
    </w:p>
    <w:p w:rsidR="00515DFF" w:rsidRDefault="00515DFF" w:rsidP="00515DFF">
      <w:pPr>
        <w:jc w:val="both"/>
        <w:rPr>
          <w:sz w:val="24"/>
        </w:rPr>
      </w:pPr>
    </w:p>
    <w:p w:rsidR="00515DFF" w:rsidRDefault="00515DFF" w:rsidP="00515DFF">
      <w:pPr>
        <w:ind w:left="1701"/>
        <w:jc w:val="both"/>
        <w:rPr>
          <w:sz w:val="24"/>
        </w:rPr>
      </w:pPr>
      <w:r>
        <w:rPr>
          <w:sz w:val="24"/>
        </w:rPr>
        <w:t>I trattamenti di cui al presente punto si applicano anche ai lavoratori di cui ai successivi punti 2 e 3.</w:t>
      </w:r>
    </w:p>
    <w:p w:rsidR="00515DFF" w:rsidRDefault="00515DFF" w:rsidP="00515DFF">
      <w:pPr>
        <w:ind w:left="1701" w:hanging="425"/>
        <w:jc w:val="both"/>
        <w:rPr>
          <w:sz w:val="24"/>
        </w:rPr>
      </w:pPr>
    </w:p>
    <w:p w:rsidR="00515DFF" w:rsidRDefault="00515DFF" w:rsidP="00515DFF">
      <w:pPr>
        <w:ind w:left="1701" w:hanging="425"/>
        <w:jc w:val="both"/>
        <w:rPr>
          <w:sz w:val="24"/>
        </w:rPr>
      </w:pPr>
      <w:r>
        <w:rPr>
          <w:sz w:val="24"/>
        </w:rPr>
        <w:t>1.4</w:t>
      </w:r>
      <w:r>
        <w:rPr>
          <w:sz w:val="24"/>
        </w:rPr>
        <w:tab/>
        <w:t xml:space="preserve">Per trasferte nella medesima località di durata superiore a 2 giorni, al lavoratore che ne faccia richiesta verrà corrisposto, in luogo dei rimborsi di cui alle lettere b) e c) e dell’indennità di cui alla lettera d) del precedente punto 1.1, il rimborso per spese forfetarie di un importo giornaliero pari ad € 45,00. </w:t>
      </w:r>
    </w:p>
    <w:p w:rsidR="00515DFF" w:rsidRDefault="00515DFF" w:rsidP="00515DFF">
      <w:pPr>
        <w:ind w:left="1701" w:hanging="425"/>
        <w:jc w:val="both"/>
        <w:rPr>
          <w:sz w:val="24"/>
        </w:rPr>
      </w:pPr>
      <w:r>
        <w:rPr>
          <w:sz w:val="24"/>
        </w:rPr>
        <w:tab/>
      </w:r>
    </w:p>
    <w:p w:rsidR="00515DFF" w:rsidRDefault="00515DFF" w:rsidP="001D6292">
      <w:pPr>
        <w:ind w:left="1701" w:hanging="2"/>
        <w:jc w:val="both"/>
        <w:rPr>
          <w:sz w:val="24"/>
        </w:rPr>
      </w:pPr>
      <w:r>
        <w:rPr>
          <w:sz w:val="24"/>
        </w:rPr>
        <w:t>Per specifiche situazioni organizzative o produttive le parti a livello aziendale potranno definire diverse soluzioni.</w:t>
      </w:r>
    </w:p>
    <w:p w:rsidR="00515DFF" w:rsidRDefault="00515DFF" w:rsidP="00515DFF">
      <w:pPr>
        <w:ind w:left="1701" w:hanging="425"/>
        <w:jc w:val="both"/>
        <w:rPr>
          <w:b/>
          <w:sz w:val="24"/>
        </w:rPr>
      </w:pPr>
    </w:p>
    <w:p w:rsidR="00515DFF" w:rsidRDefault="00515DFF" w:rsidP="00515DFF">
      <w:pPr>
        <w:ind w:left="1701" w:hanging="425"/>
        <w:jc w:val="both"/>
        <w:rPr>
          <w:sz w:val="24"/>
        </w:rPr>
      </w:pPr>
      <w:r>
        <w:rPr>
          <w:sz w:val="24"/>
        </w:rPr>
        <w:t>1.5</w:t>
      </w:r>
      <w:r>
        <w:rPr>
          <w:sz w:val="24"/>
        </w:rPr>
        <w:tab/>
        <w:t>Per le trasferte all’estero, al lavoratore verrà corrisposto:</w:t>
      </w:r>
    </w:p>
    <w:p w:rsidR="00515DFF" w:rsidRDefault="00515DFF" w:rsidP="00515DFF">
      <w:pPr>
        <w:ind w:left="2127" w:hanging="426"/>
        <w:jc w:val="both"/>
        <w:rPr>
          <w:sz w:val="24"/>
        </w:rPr>
      </w:pPr>
      <w:r>
        <w:rPr>
          <w:sz w:val="24"/>
        </w:rPr>
        <w:t>a)</w:t>
      </w:r>
      <w:r>
        <w:rPr>
          <w:sz w:val="24"/>
        </w:rPr>
        <w:tab/>
        <w:t>il rimborso delle spese di viaggio preventivamente autorizzate;</w:t>
      </w:r>
    </w:p>
    <w:p w:rsidR="00515DFF" w:rsidRDefault="00515DFF" w:rsidP="00515DFF">
      <w:pPr>
        <w:ind w:left="2127" w:hanging="426"/>
        <w:jc w:val="both"/>
        <w:rPr>
          <w:sz w:val="24"/>
        </w:rPr>
      </w:pPr>
      <w:r>
        <w:rPr>
          <w:sz w:val="24"/>
        </w:rPr>
        <w:t>b)</w:t>
      </w:r>
      <w:r>
        <w:rPr>
          <w:sz w:val="24"/>
        </w:rPr>
        <w:tab/>
        <w:t>il rimborso delle spese documentate di pernottamento e prima colazione in albergo a tre stelle o categoria equivalente;</w:t>
      </w:r>
    </w:p>
    <w:p w:rsidR="00515DFF" w:rsidRDefault="00515DFF" w:rsidP="00515DFF">
      <w:pPr>
        <w:ind w:left="2127" w:hanging="426"/>
        <w:jc w:val="both"/>
        <w:rPr>
          <w:sz w:val="24"/>
        </w:rPr>
      </w:pPr>
      <w:r>
        <w:rPr>
          <w:sz w:val="24"/>
        </w:rPr>
        <w:t>c)</w:t>
      </w:r>
      <w:r>
        <w:rPr>
          <w:sz w:val="24"/>
        </w:rPr>
        <w:tab/>
        <w:t>il rimborso delle spese documentate di vitto, di cui alla lettera c) del precedente punto 1.1, con le misure ivi indicate maggiorate del 30%, fatto salvo quanto eventualmente concordato tra azienda e lavoratore in relazione alle diverse destinazioni;</w:t>
      </w:r>
    </w:p>
    <w:p w:rsidR="00515DFF" w:rsidRDefault="00515DFF" w:rsidP="00515DFF">
      <w:pPr>
        <w:ind w:left="2127" w:hanging="426"/>
        <w:jc w:val="both"/>
        <w:rPr>
          <w:sz w:val="24"/>
        </w:rPr>
      </w:pPr>
      <w:r>
        <w:rPr>
          <w:sz w:val="24"/>
        </w:rPr>
        <w:t>d)</w:t>
      </w:r>
      <w:r>
        <w:rPr>
          <w:sz w:val="24"/>
        </w:rPr>
        <w:tab/>
        <w:t>una indennità di trasferta con le modalità definite alla lettera d) del precedente punto 1.1, maggiorata del 30%.</w:t>
      </w:r>
    </w:p>
    <w:p w:rsidR="00515DFF" w:rsidRDefault="00515DFF" w:rsidP="00515DFF">
      <w:pPr>
        <w:ind w:left="2127" w:hanging="426"/>
        <w:jc w:val="both"/>
        <w:rPr>
          <w:sz w:val="24"/>
        </w:rPr>
      </w:pPr>
    </w:p>
    <w:p w:rsidR="00515DFF" w:rsidRDefault="00515DFF" w:rsidP="00515DFF">
      <w:pPr>
        <w:ind w:left="1701"/>
        <w:jc w:val="both"/>
        <w:rPr>
          <w:sz w:val="24"/>
        </w:rPr>
      </w:pPr>
      <w:r>
        <w:rPr>
          <w:sz w:val="24"/>
        </w:rPr>
        <w:t>Quanto previsto ai precedenti punti 1.2 e 1.4 si applica anche nel caso di  trasferte all’estero con gli importi di cui alle lettere b) e c) del punto 1.2 ed al punto 1.4 maggiorati del 30%.</w:t>
      </w:r>
    </w:p>
    <w:p w:rsidR="00515DFF" w:rsidRDefault="00515DFF" w:rsidP="00515DFF">
      <w:pPr>
        <w:ind w:left="1701" w:hanging="425"/>
        <w:jc w:val="both"/>
        <w:rPr>
          <w:sz w:val="24"/>
        </w:rPr>
      </w:pPr>
    </w:p>
    <w:p w:rsidR="00515DFF" w:rsidRDefault="00515DFF" w:rsidP="00515DFF">
      <w:pPr>
        <w:ind w:left="1701" w:hanging="425"/>
        <w:jc w:val="both"/>
        <w:rPr>
          <w:sz w:val="24"/>
        </w:rPr>
      </w:pPr>
      <w:r>
        <w:rPr>
          <w:sz w:val="24"/>
        </w:rPr>
        <w:t>1.6</w:t>
      </w:r>
      <w:r>
        <w:rPr>
          <w:sz w:val="24"/>
        </w:rPr>
        <w:tab/>
        <w:t>I rimborsi e l’indennità di trasferta, nel rispetto di quanto stabilito nel presente articolo, verranno corrisposti dalle aziende con le competenze del mese nel quale la trasferta viene effettuata. Al lavoratore sarà attribuita, su sua richiesta, una anticipazione delle spese di trasferta di cui alle lettere a), b) e c) del precedente punto 1.1, con le modalità definite dalle aziende.</w:t>
      </w:r>
    </w:p>
    <w:p w:rsidR="00515DFF" w:rsidRDefault="00515DFF" w:rsidP="00515DFF">
      <w:pPr>
        <w:ind w:left="1701"/>
        <w:jc w:val="both"/>
        <w:rPr>
          <w:sz w:val="24"/>
        </w:rPr>
      </w:pPr>
    </w:p>
    <w:p w:rsidR="00515DFF" w:rsidRDefault="00515DFF" w:rsidP="00515DFF">
      <w:pPr>
        <w:ind w:left="1701" w:hanging="425"/>
        <w:jc w:val="both"/>
        <w:rPr>
          <w:sz w:val="24"/>
        </w:rPr>
      </w:pPr>
      <w:r>
        <w:rPr>
          <w:sz w:val="24"/>
        </w:rPr>
        <w:t>1.7</w:t>
      </w:r>
      <w:r>
        <w:rPr>
          <w:sz w:val="24"/>
        </w:rPr>
        <w:tab/>
        <w:t>I rimborsi e le indennità definite al presente punto 1, riconosciuti al personale in trasferta, sono escluse dal calcolo della retribuzione spettante per tutti gli istituti di legge e/o di contratto.</w:t>
      </w:r>
    </w:p>
    <w:p w:rsidR="00515DFF" w:rsidRDefault="00515DFF" w:rsidP="00515DFF">
      <w:pPr>
        <w:ind w:left="1701" w:hanging="425"/>
        <w:jc w:val="both"/>
        <w:rPr>
          <w:sz w:val="24"/>
        </w:rPr>
      </w:pPr>
    </w:p>
    <w:p w:rsidR="00515DFF" w:rsidRDefault="00515DFF" w:rsidP="00515DFF">
      <w:pPr>
        <w:ind w:left="1701" w:hanging="425"/>
        <w:jc w:val="both"/>
        <w:rPr>
          <w:sz w:val="24"/>
        </w:rPr>
      </w:pPr>
      <w:r>
        <w:rPr>
          <w:sz w:val="24"/>
        </w:rPr>
        <w:t>1.8</w:t>
      </w:r>
      <w:r>
        <w:rPr>
          <w:sz w:val="24"/>
        </w:rPr>
        <w:tab/>
        <w:t xml:space="preserve">Nel caso in cui il lavoratore venga inviato in trasferta nella medesima località per periodi continuativi superiori a 240 giorni, permanendo le condizioni che avevano determinato l’invio in trasferta l’azienda potrà prolungare tale periodo ovvero disporre il trasferimento individuale del lavoratore nella nuova sede di lavoro, nel </w:t>
      </w:r>
      <w:r>
        <w:rPr>
          <w:sz w:val="24"/>
        </w:rPr>
        <w:lastRenderedPageBreak/>
        <w:t xml:space="preserve">rispetto dei limiti previsti all’art. </w:t>
      </w:r>
      <w:r w:rsidR="00082FFD">
        <w:rPr>
          <w:b/>
          <w:sz w:val="24"/>
        </w:rPr>
        <w:t>45</w:t>
      </w:r>
      <w:r>
        <w:rPr>
          <w:sz w:val="24"/>
        </w:rPr>
        <w:t xml:space="preserve"> (Trasferimenti individuali) del presente CCNL. </w:t>
      </w:r>
    </w:p>
    <w:p w:rsidR="00515DFF" w:rsidRDefault="00515DFF" w:rsidP="00515DFF">
      <w:pPr>
        <w:ind w:left="851" w:hanging="425"/>
        <w:jc w:val="both"/>
        <w:rPr>
          <w:sz w:val="24"/>
        </w:rPr>
      </w:pPr>
    </w:p>
    <w:p w:rsidR="00515DFF" w:rsidRPr="00515DFF" w:rsidRDefault="00B66342" w:rsidP="00515DFF">
      <w:pPr>
        <w:numPr>
          <w:ilvl w:val="0"/>
          <w:numId w:val="1"/>
        </w:numPr>
        <w:tabs>
          <w:tab w:val="clear" w:pos="360"/>
          <w:tab w:val="num" w:pos="-1560"/>
        </w:tabs>
        <w:ind w:left="1276" w:hanging="426"/>
        <w:jc w:val="both"/>
        <w:rPr>
          <w:b/>
          <w:i/>
          <w:sz w:val="24"/>
        </w:rPr>
      </w:pPr>
      <w:r>
        <w:rPr>
          <w:b/>
          <w:i/>
          <w:sz w:val="24"/>
        </w:rPr>
        <w:t>Assenza dalla residenza</w:t>
      </w:r>
    </w:p>
    <w:p w:rsidR="00515DFF" w:rsidRDefault="00515DFF" w:rsidP="00515DFF">
      <w:pPr>
        <w:jc w:val="both"/>
        <w:rPr>
          <w:sz w:val="24"/>
        </w:rPr>
      </w:pPr>
    </w:p>
    <w:p w:rsidR="00E86613" w:rsidRDefault="00E86613" w:rsidP="00E86613">
      <w:pPr>
        <w:ind w:left="1701" w:hanging="425"/>
        <w:jc w:val="both"/>
        <w:rPr>
          <w:sz w:val="24"/>
        </w:rPr>
      </w:pPr>
      <w:r>
        <w:rPr>
          <w:sz w:val="24"/>
        </w:rPr>
        <w:t>2.1</w:t>
      </w:r>
      <w:r>
        <w:rPr>
          <w:sz w:val="24"/>
        </w:rPr>
        <w:tab/>
        <w:t>Al personale di condotta ed al personale di bordo in servizio sui treni le aziende corrisponderanno un compenso per assenza dalla residenza di lavoro, nelle misure orarie di seguito indicate, per ogni ora di assenza dalla residenza calcolata dall’ora di partenza del treno, secondo l’orario stabilito, all’ora reale di arrivo nella residenza di lavoro, quando effettua per conto dell’unità produttiva presso cui è in forza servizi che comportano complessivamente, per ciascuna giornata di turno, un’assenza di durata non inferiore a 3 ore:</w:t>
      </w:r>
    </w:p>
    <w:p w:rsidR="00E86613" w:rsidRDefault="00E86613" w:rsidP="00E86613">
      <w:pPr>
        <w:ind w:left="1767" w:hanging="491"/>
        <w:jc w:val="both"/>
        <w:rPr>
          <w:sz w:val="24"/>
        </w:rPr>
      </w:pPr>
    </w:p>
    <w:p w:rsidR="00E86613" w:rsidRDefault="00E86613" w:rsidP="00E86613">
      <w:pPr>
        <w:ind w:left="1985" w:hanging="284"/>
        <w:jc w:val="both"/>
        <w:rPr>
          <w:sz w:val="24"/>
        </w:rPr>
      </w:pPr>
      <w:r>
        <w:rPr>
          <w:sz w:val="24"/>
        </w:rPr>
        <w:t>a)</w:t>
      </w:r>
      <w:r>
        <w:rPr>
          <w:sz w:val="24"/>
        </w:rPr>
        <w:tab/>
        <w:t>per servizi senza riposo fuori residenza:</w:t>
      </w:r>
      <w:r>
        <w:rPr>
          <w:sz w:val="24"/>
        </w:rPr>
        <w:tab/>
        <w:t>€ 1,20</w:t>
      </w:r>
    </w:p>
    <w:p w:rsidR="00E86613" w:rsidRDefault="00E86613" w:rsidP="00E86613">
      <w:pPr>
        <w:ind w:left="1985" w:hanging="284"/>
        <w:jc w:val="both"/>
        <w:rPr>
          <w:sz w:val="24"/>
        </w:rPr>
      </w:pPr>
      <w:r>
        <w:rPr>
          <w:sz w:val="24"/>
        </w:rPr>
        <w:t>b)</w:t>
      </w:r>
      <w:r>
        <w:rPr>
          <w:sz w:val="24"/>
        </w:rPr>
        <w:tab/>
        <w:t>per servizi con riposo fuori residenza:</w:t>
      </w:r>
      <w:r>
        <w:rPr>
          <w:sz w:val="24"/>
        </w:rPr>
        <w:tab/>
      </w:r>
      <w:r>
        <w:rPr>
          <w:sz w:val="24"/>
        </w:rPr>
        <w:tab/>
        <w:t>€ 2,10</w:t>
      </w:r>
    </w:p>
    <w:p w:rsidR="00E86613" w:rsidRPr="00E86613" w:rsidRDefault="00E86613" w:rsidP="00E86613">
      <w:pPr>
        <w:ind w:left="1985" w:hanging="284"/>
        <w:jc w:val="both"/>
        <w:rPr>
          <w:sz w:val="24"/>
          <w:highlight w:val="yellow"/>
        </w:rPr>
      </w:pPr>
      <w:r w:rsidRPr="00E86613">
        <w:rPr>
          <w:sz w:val="24"/>
          <w:highlight w:val="yellow"/>
        </w:rPr>
        <w:t>c)</w:t>
      </w:r>
      <w:r w:rsidRPr="00E86613">
        <w:rPr>
          <w:sz w:val="24"/>
          <w:highlight w:val="yellow"/>
        </w:rPr>
        <w:tab/>
        <w:t>per servizi di accompagnamento notte</w:t>
      </w:r>
    </w:p>
    <w:p w:rsidR="00E86613" w:rsidRDefault="00E86613" w:rsidP="00E86613">
      <w:pPr>
        <w:ind w:left="1985"/>
        <w:jc w:val="both"/>
        <w:rPr>
          <w:sz w:val="24"/>
        </w:rPr>
      </w:pPr>
      <w:r w:rsidRPr="00E86613">
        <w:rPr>
          <w:sz w:val="24"/>
          <w:highlight w:val="yellow"/>
        </w:rPr>
        <w:t>nelle carrozze cuccette:</w:t>
      </w:r>
      <w:r w:rsidRPr="00E86613">
        <w:rPr>
          <w:sz w:val="24"/>
          <w:highlight w:val="yellow"/>
        </w:rPr>
        <w:tab/>
      </w:r>
      <w:r w:rsidRPr="00E86613">
        <w:rPr>
          <w:sz w:val="24"/>
          <w:highlight w:val="yellow"/>
        </w:rPr>
        <w:tab/>
      </w:r>
      <w:r w:rsidRPr="00E86613">
        <w:rPr>
          <w:sz w:val="24"/>
          <w:highlight w:val="yellow"/>
        </w:rPr>
        <w:tab/>
      </w:r>
      <w:r w:rsidRPr="00E86613">
        <w:rPr>
          <w:sz w:val="24"/>
          <w:highlight w:val="yellow"/>
        </w:rPr>
        <w:tab/>
        <w:t>€ 0,90.</w:t>
      </w:r>
    </w:p>
    <w:p w:rsidR="00515DFF" w:rsidRDefault="00515DFF" w:rsidP="00515DFF">
      <w:pPr>
        <w:ind w:left="1767" w:hanging="491"/>
        <w:jc w:val="both"/>
        <w:rPr>
          <w:sz w:val="24"/>
        </w:rPr>
      </w:pPr>
    </w:p>
    <w:p w:rsidR="00515DFF" w:rsidRPr="00BB5AD7" w:rsidRDefault="00515DFF" w:rsidP="00515DFF">
      <w:pPr>
        <w:ind w:left="1701"/>
        <w:jc w:val="both"/>
        <w:rPr>
          <w:sz w:val="24"/>
        </w:rPr>
      </w:pPr>
      <w:r w:rsidRPr="00BB5AD7">
        <w:rPr>
          <w:sz w:val="24"/>
        </w:rPr>
        <w:t xml:space="preserve">Ai fini della corresponsione del compenso si sommano le prestazioni mensili per ciascuna delle tipologie sopra indicate, arrotondando ad ora intera la frazione di ora superiore a 30 minuti. </w:t>
      </w:r>
    </w:p>
    <w:p w:rsidR="00515DFF" w:rsidRPr="00BB5AD7" w:rsidRDefault="00515DFF" w:rsidP="00515DFF">
      <w:pPr>
        <w:ind w:left="1701"/>
        <w:jc w:val="both"/>
        <w:rPr>
          <w:sz w:val="24"/>
        </w:rPr>
      </w:pPr>
      <w:r w:rsidRPr="00BB5AD7">
        <w:rPr>
          <w:sz w:val="24"/>
        </w:rPr>
        <w:t xml:space="preserve">Ove la somma delle frazioni pari o inferiori a 30 minuti superi i 30 minuti, in aggiunta ai compensi di cui al precedente comma verrà corrisposto </w:t>
      </w:r>
      <w:r w:rsidR="00BB5AD7">
        <w:rPr>
          <w:b/>
          <w:sz w:val="24"/>
        </w:rPr>
        <w:t>la misura oraria dell’indennità prevista per servizi senza RFR</w:t>
      </w:r>
      <w:r w:rsidRPr="00BB5AD7">
        <w:rPr>
          <w:sz w:val="24"/>
        </w:rPr>
        <w:t xml:space="preserve"> </w:t>
      </w:r>
      <w:r w:rsidRPr="00BB5AD7">
        <w:rPr>
          <w:strike/>
          <w:sz w:val="24"/>
        </w:rPr>
        <w:t>di cui alla precedente lettera a)</w:t>
      </w:r>
      <w:r w:rsidRPr="00BB5AD7">
        <w:rPr>
          <w:sz w:val="24"/>
        </w:rPr>
        <w:t xml:space="preserve">. </w:t>
      </w:r>
    </w:p>
    <w:p w:rsidR="006E5F7E" w:rsidRPr="00515DFF" w:rsidRDefault="006E5F7E" w:rsidP="00515DFF">
      <w:pPr>
        <w:ind w:left="1701"/>
        <w:jc w:val="both"/>
        <w:rPr>
          <w:strike/>
          <w:sz w:val="24"/>
        </w:rPr>
      </w:pPr>
    </w:p>
    <w:p w:rsidR="00515DFF" w:rsidRPr="00515DFF" w:rsidRDefault="00515DFF" w:rsidP="00515DFF">
      <w:pPr>
        <w:ind w:left="1701" w:hanging="425"/>
        <w:jc w:val="both"/>
        <w:rPr>
          <w:strike/>
          <w:sz w:val="24"/>
        </w:rPr>
      </w:pPr>
      <w:r w:rsidRPr="00515DFF">
        <w:rPr>
          <w:strike/>
          <w:sz w:val="24"/>
        </w:rPr>
        <w:t>2.2</w:t>
      </w:r>
      <w:r w:rsidRPr="00515DFF">
        <w:rPr>
          <w:strike/>
          <w:sz w:val="24"/>
        </w:rPr>
        <w:tab/>
        <w:t>Nel caso di assenza dalla residenza all’estero o di sosta nelle località estere di confine con l’Italia i compensi di cui al precedente punto 2.1 sono determinati nelle misure orarie di seguito indicate:</w:t>
      </w:r>
    </w:p>
    <w:p w:rsidR="00515DFF" w:rsidRPr="00515DFF" w:rsidRDefault="00515DFF" w:rsidP="00515DFF">
      <w:pPr>
        <w:ind w:left="1701" w:hanging="425"/>
        <w:jc w:val="both"/>
        <w:rPr>
          <w:strike/>
          <w:sz w:val="24"/>
        </w:rPr>
      </w:pPr>
    </w:p>
    <w:p w:rsidR="00515DFF" w:rsidRPr="00515DFF" w:rsidRDefault="00515DFF" w:rsidP="00515DFF">
      <w:pPr>
        <w:ind w:left="1985" w:hanging="284"/>
        <w:jc w:val="both"/>
        <w:rPr>
          <w:strike/>
          <w:sz w:val="24"/>
        </w:rPr>
      </w:pPr>
      <w:r w:rsidRPr="00515DFF">
        <w:rPr>
          <w:strike/>
          <w:sz w:val="24"/>
        </w:rPr>
        <w:t>a)</w:t>
      </w:r>
      <w:r w:rsidRPr="00515DFF">
        <w:rPr>
          <w:strike/>
          <w:sz w:val="24"/>
        </w:rPr>
        <w:tab/>
        <w:t>per servizi senza riposo fuori residenza:</w:t>
      </w:r>
      <w:r w:rsidRPr="00515DFF">
        <w:rPr>
          <w:strike/>
          <w:sz w:val="24"/>
        </w:rPr>
        <w:tab/>
        <w:t>€ 1,90</w:t>
      </w:r>
    </w:p>
    <w:p w:rsidR="00515DFF" w:rsidRPr="00515DFF" w:rsidRDefault="00515DFF" w:rsidP="00515DFF">
      <w:pPr>
        <w:ind w:left="1985" w:hanging="284"/>
        <w:jc w:val="both"/>
        <w:rPr>
          <w:strike/>
          <w:sz w:val="24"/>
        </w:rPr>
      </w:pPr>
      <w:r w:rsidRPr="00515DFF">
        <w:rPr>
          <w:strike/>
          <w:sz w:val="24"/>
        </w:rPr>
        <w:t>b)</w:t>
      </w:r>
      <w:r w:rsidRPr="00515DFF">
        <w:rPr>
          <w:strike/>
          <w:sz w:val="24"/>
        </w:rPr>
        <w:tab/>
        <w:t>per servizi con riposo fuori residenza:</w:t>
      </w:r>
      <w:r w:rsidRPr="00515DFF">
        <w:rPr>
          <w:strike/>
          <w:sz w:val="24"/>
        </w:rPr>
        <w:tab/>
      </w:r>
      <w:r w:rsidRPr="00515DFF">
        <w:rPr>
          <w:strike/>
          <w:sz w:val="24"/>
        </w:rPr>
        <w:tab/>
        <w:t>€ 3,00</w:t>
      </w:r>
    </w:p>
    <w:p w:rsidR="00515DFF" w:rsidRPr="00515DFF" w:rsidRDefault="00515DFF" w:rsidP="00515DFF">
      <w:pPr>
        <w:ind w:left="1985" w:hanging="284"/>
        <w:jc w:val="both"/>
        <w:rPr>
          <w:strike/>
          <w:sz w:val="24"/>
        </w:rPr>
      </w:pPr>
      <w:r w:rsidRPr="00515DFF">
        <w:rPr>
          <w:strike/>
          <w:sz w:val="24"/>
        </w:rPr>
        <w:t>c)</w:t>
      </w:r>
      <w:r w:rsidRPr="00515DFF">
        <w:rPr>
          <w:strike/>
          <w:sz w:val="24"/>
        </w:rPr>
        <w:tab/>
        <w:t>per servizi di accompagnamento notte</w:t>
      </w:r>
    </w:p>
    <w:p w:rsidR="00515DFF" w:rsidRPr="00515DFF" w:rsidRDefault="00515DFF" w:rsidP="00515DFF">
      <w:pPr>
        <w:ind w:left="1985"/>
        <w:jc w:val="both"/>
        <w:rPr>
          <w:strike/>
          <w:sz w:val="24"/>
        </w:rPr>
      </w:pPr>
      <w:r w:rsidRPr="00515DFF">
        <w:rPr>
          <w:strike/>
          <w:sz w:val="24"/>
        </w:rPr>
        <w:t>nelle carrozze cuccette:</w:t>
      </w:r>
      <w:r w:rsidRPr="00515DFF">
        <w:rPr>
          <w:strike/>
          <w:sz w:val="24"/>
        </w:rPr>
        <w:tab/>
      </w:r>
      <w:r w:rsidRPr="00515DFF">
        <w:rPr>
          <w:strike/>
          <w:sz w:val="24"/>
        </w:rPr>
        <w:tab/>
      </w:r>
      <w:r w:rsidRPr="00515DFF">
        <w:rPr>
          <w:strike/>
          <w:sz w:val="24"/>
        </w:rPr>
        <w:tab/>
      </w:r>
      <w:r w:rsidRPr="00515DFF">
        <w:rPr>
          <w:strike/>
          <w:sz w:val="24"/>
        </w:rPr>
        <w:tab/>
        <w:t>€ 1,44.</w:t>
      </w:r>
    </w:p>
    <w:p w:rsidR="00515DFF" w:rsidRPr="00515DFF" w:rsidRDefault="00515DFF" w:rsidP="00515DFF">
      <w:pPr>
        <w:ind w:left="851" w:hanging="491"/>
        <w:jc w:val="both"/>
        <w:rPr>
          <w:strike/>
          <w:sz w:val="24"/>
        </w:rPr>
      </w:pPr>
    </w:p>
    <w:p w:rsidR="00515DFF" w:rsidRPr="00515DFF" w:rsidRDefault="00515DFF" w:rsidP="00515DFF">
      <w:pPr>
        <w:ind w:left="1701"/>
        <w:jc w:val="both"/>
        <w:rPr>
          <w:strike/>
          <w:sz w:val="24"/>
        </w:rPr>
      </w:pPr>
      <w:r w:rsidRPr="00515DFF">
        <w:rPr>
          <w:strike/>
          <w:sz w:val="24"/>
        </w:rPr>
        <w:t>Per i servizi internazionali, il trattamento di cui alla precedente lettera c) decorre dall’ora di transito presso la località del confine nazionale, ovvero fino all’ora di transito presso la stessa località.</w:t>
      </w:r>
    </w:p>
    <w:p w:rsidR="00515DFF" w:rsidRDefault="00515DFF" w:rsidP="00515DFF">
      <w:pPr>
        <w:ind w:left="1701" w:hanging="425"/>
        <w:jc w:val="both"/>
        <w:rPr>
          <w:sz w:val="24"/>
        </w:rPr>
      </w:pPr>
    </w:p>
    <w:p w:rsidR="00515DFF" w:rsidRDefault="00515DFF" w:rsidP="00515DFF">
      <w:pPr>
        <w:ind w:left="1701" w:hanging="425"/>
        <w:jc w:val="both"/>
        <w:rPr>
          <w:sz w:val="24"/>
        </w:rPr>
      </w:pPr>
      <w:r>
        <w:rPr>
          <w:sz w:val="24"/>
        </w:rPr>
        <w:t>2.</w:t>
      </w:r>
      <w:r w:rsidR="00E86613">
        <w:rPr>
          <w:b/>
          <w:sz w:val="24"/>
        </w:rPr>
        <w:t>2</w:t>
      </w:r>
      <w:r>
        <w:rPr>
          <w:sz w:val="24"/>
        </w:rPr>
        <w:tab/>
      </w:r>
      <w:r>
        <w:rPr>
          <w:b/>
          <w:sz w:val="24"/>
        </w:rPr>
        <w:t>L</w:t>
      </w:r>
      <w:r w:rsidR="00BB5AD7">
        <w:rPr>
          <w:b/>
          <w:sz w:val="24"/>
        </w:rPr>
        <w:t>’indennità per assenza dalla residenza</w:t>
      </w:r>
      <w:r>
        <w:rPr>
          <w:sz w:val="24"/>
        </w:rPr>
        <w:t xml:space="preserve"> è soggett</w:t>
      </w:r>
      <w:r>
        <w:rPr>
          <w:b/>
          <w:sz w:val="24"/>
        </w:rPr>
        <w:t>a</w:t>
      </w:r>
      <w:r>
        <w:rPr>
          <w:sz w:val="24"/>
        </w:rPr>
        <w:t xml:space="preserve"> allo stesso regime fiscale del trattamento di trasferta.</w:t>
      </w:r>
    </w:p>
    <w:p w:rsidR="00515DFF" w:rsidRDefault="00515DFF" w:rsidP="00515DFF">
      <w:pPr>
        <w:ind w:left="1701" w:hanging="425"/>
        <w:jc w:val="both"/>
        <w:rPr>
          <w:sz w:val="24"/>
        </w:rPr>
      </w:pPr>
    </w:p>
    <w:p w:rsidR="00515DFF" w:rsidRDefault="006E5F7E" w:rsidP="00515DFF">
      <w:pPr>
        <w:ind w:left="1701" w:hanging="425"/>
        <w:jc w:val="both"/>
        <w:rPr>
          <w:sz w:val="24"/>
        </w:rPr>
      </w:pPr>
      <w:r>
        <w:rPr>
          <w:sz w:val="24"/>
        </w:rPr>
        <w:t>2.</w:t>
      </w:r>
      <w:r w:rsidR="00E86613">
        <w:rPr>
          <w:b/>
          <w:sz w:val="24"/>
        </w:rPr>
        <w:t>3</w:t>
      </w:r>
      <w:r w:rsidR="00515DFF">
        <w:rPr>
          <w:sz w:val="24"/>
        </w:rPr>
        <w:tab/>
      </w:r>
      <w:r w:rsidR="00515DFF">
        <w:rPr>
          <w:b/>
          <w:sz w:val="24"/>
        </w:rPr>
        <w:t>L</w:t>
      </w:r>
      <w:r w:rsidR="00BB5AD7">
        <w:rPr>
          <w:b/>
          <w:sz w:val="24"/>
        </w:rPr>
        <w:t>’indennità per assenza dalla residenza</w:t>
      </w:r>
      <w:r w:rsidR="00515DFF">
        <w:rPr>
          <w:sz w:val="24"/>
        </w:rPr>
        <w:t xml:space="preserve"> è esclus</w:t>
      </w:r>
      <w:r w:rsidR="00515DFF">
        <w:rPr>
          <w:b/>
          <w:sz w:val="24"/>
        </w:rPr>
        <w:t>a</w:t>
      </w:r>
      <w:r w:rsidR="00515DFF">
        <w:rPr>
          <w:sz w:val="24"/>
        </w:rPr>
        <w:t xml:space="preserve"> dal calcolo della retribuzione spettante per tutti gli istituti di legge e/o di contratto.</w:t>
      </w:r>
    </w:p>
    <w:p w:rsidR="00515DFF" w:rsidRDefault="00515DFF" w:rsidP="00515DFF">
      <w:pPr>
        <w:ind w:left="851" w:hanging="491"/>
        <w:jc w:val="both"/>
        <w:rPr>
          <w:sz w:val="24"/>
        </w:rPr>
      </w:pPr>
    </w:p>
    <w:p w:rsidR="00515DFF" w:rsidRDefault="00515DFF" w:rsidP="00515DFF">
      <w:pPr>
        <w:numPr>
          <w:ilvl w:val="0"/>
          <w:numId w:val="1"/>
        </w:numPr>
        <w:tabs>
          <w:tab w:val="clear" w:pos="360"/>
          <w:tab w:val="num" w:pos="-1701"/>
        </w:tabs>
        <w:ind w:left="1276" w:hanging="426"/>
        <w:jc w:val="both"/>
        <w:rPr>
          <w:b/>
          <w:i/>
          <w:sz w:val="24"/>
        </w:rPr>
      </w:pPr>
      <w:r>
        <w:rPr>
          <w:b/>
          <w:i/>
          <w:sz w:val="24"/>
        </w:rPr>
        <w:t>Indennità di linea</w:t>
      </w:r>
    </w:p>
    <w:p w:rsidR="00515DFF" w:rsidRDefault="00515DFF" w:rsidP="00515DFF">
      <w:pPr>
        <w:ind w:left="1276"/>
        <w:jc w:val="both"/>
        <w:rPr>
          <w:sz w:val="24"/>
        </w:rPr>
      </w:pPr>
    </w:p>
    <w:p w:rsidR="00515DFF" w:rsidRDefault="00515DFF" w:rsidP="00515DFF">
      <w:pPr>
        <w:ind w:left="1701" w:hanging="425"/>
        <w:jc w:val="both"/>
        <w:rPr>
          <w:sz w:val="24"/>
        </w:rPr>
      </w:pPr>
      <w:r>
        <w:rPr>
          <w:sz w:val="24"/>
        </w:rPr>
        <w:t>3.1</w:t>
      </w:r>
      <w:r>
        <w:rPr>
          <w:sz w:val="24"/>
        </w:rPr>
        <w:tab/>
        <w:t xml:space="preserve">Ai soli lavoratori addetti alla manutenzione delle infrastrutture ferroviarie che, per lo svolgimento della loro attività lavorativa, sono comandati a spostarsi </w:t>
      </w:r>
      <w:r w:rsidRPr="009231DD">
        <w:rPr>
          <w:strike/>
          <w:sz w:val="24"/>
        </w:rPr>
        <w:t>per più di 3 Km.</w:t>
      </w:r>
      <w:r>
        <w:rPr>
          <w:sz w:val="24"/>
        </w:rPr>
        <w:t xml:space="preserve"> </w:t>
      </w:r>
      <w:r w:rsidR="009231DD">
        <w:rPr>
          <w:b/>
          <w:sz w:val="24"/>
        </w:rPr>
        <w:t xml:space="preserve">al di fuori del comune </w:t>
      </w:r>
      <w:r w:rsidR="009231DD">
        <w:rPr>
          <w:sz w:val="24"/>
        </w:rPr>
        <w:t>d</w:t>
      </w:r>
      <w:r w:rsidR="009231DD" w:rsidRPr="009231DD">
        <w:rPr>
          <w:b/>
          <w:sz w:val="24"/>
        </w:rPr>
        <w:t>e</w:t>
      </w:r>
      <w:r>
        <w:rPr>
          <w:sz w:val="24"/>
        </w:rPr>
        <w:t xml:space="preserve">lla </w:t>
      </w:r>
      <w:r w:rsidRPr="009231DD">
        <w:rPr>
          <w:strike/>
          <w:sz w:val="24"/>
        </w:rPr>
        <w:t>residenza</w:t>
      </w:r>
      <w:r>
        <w:rPr>
          <w:sz w:val="24"/>
        </w:rPr>
        <w:t xml:space="preserve"> </w:t>
      </w:r>
      <w:r w:rsidR="009231DD">
        <w:rPr>
          <w:b/>
          <w:sz w:val="24"/>
        </w:rPr>
        <w:t xml:space="preserve">sede </w:t>
      </w:r>
      <w:r>
        <w:rPr>
          <w:sz w:val="24"/>
        </w:rPr>
        <w:t xml:space="preserve">di lavoro, compete, per ciascuna giornata di spostamento e per spostamenti di durata non inferiore a due </w:t>
      </w:r>
      <w:r>
        <w:rPr>
          <w:sz w:val="24"/>
        </w:rPr>
        <w:lastRenderedPageBreak/>
        <w:t>ore e non superiore a 10 ore</w:t>
      </w:r>
      <w:r w:rsidR="00A36773">
        <w:rPr>
          <w:sz w:val="24"/>
        </w:rPr>
        <w:t>,</w:t>
      </w:r>
      <w:r>
        <w:rPr>
          <w:sz w:val="24"/>
        </w:rPr>
        <w:t xml:space="preserve"> comprendenti i tempi per lo spostamento, una indennità di linea nelle seguenti misure individuali:</w:t>
      </w:r>
    </w:p>
    <w:p w:rsidR="00515DFF" w:rsidRDefault="00515DFF" w:rsidP="00515DFF">
      <w:pPr>
        <w:ind w:left="1701" w:hanging="425"/>
        <w:jc w:val="both"/>
        <w:rPr>
          <w:sz w:val="24"/>
        </w:rPr>
      </w:pPr>
    </w:p>
    <w:p w:rsidR="00515DFF" w:rsidRDefault="00515DFF" w:rsidP="00515DFF">
      <w:pPr>
        <w:numPr>
          <w:ilvl w:val="0"/>
          <w:numId w:val="5"/>
        </w:numPr>
        <w:jc w:val="both"/>
        <w:rPr>
          <w:sz w:val="24"/>
        </w:rPr>
      </w:pPr>
      <w:r>
        <w:rPr>
          <w:sz w:val="24"/>
        </w:rPr>
        <w:t>Quadri:</w:t>
      </w:r>
      <w:r>
        <w:rPr>
          <w:sz w:val="24"/>
        </w:rPr>
        <w:tab/>
      </w:r>
      <w:r>
        <w:rPr>
          <w:sz w:val="24"/>
        </w:rPr>
        <w:tab/>
      </w:r>
      <w:r>
        <w:rPr>
          <w:sz w:val="24"/>
        </w:rPr>
        <w:tab/>
        <w:t>€ 4,60</w:t>
      </w:r>
    </w:p>
    <w:p w:rsidR="00515DFF" w:rsidRDefault="00515DFF" w:rsidP="00515DFF">
      <w:pPr>
        <w:numPr>
          <w:ilvl w:val="0"/>
          <w:numId w:val="5"/>
        </w:numPr>
        <w:jc w:val="both"/>
        <w:rPr>
          <w:sz w:val="24"/>
        </w:rPr>
      </w:pPr>
      <w:r>
        <w:rPr>
          <w:sz w:val="24"/>
        </w:rPr>
        <w:t>Rimanente personale</w:t>
      </w:r>
      <w:r>
        <w:rPr>
          <w:sz w:val="24"/>
        </w:rPr>
        <w:tab/>
        <w:t>€ 3,70.</w:t>
      </w:r>
    </w:p>
    <w:p w:rsidR="00515DFF" w:rsidRDefault="00515DFF" w:rsidP="00515DFF">
      <w:pPr>
        <w:jc w:val="both"/>
        <w:rPr>
          <w:b/>
          <w:sz w:val="24"/>
        </w:rPr>
      </w:pPr>
    </w:p>
    <w:p w:rsidR="00515DFF" w:rsidRDefault="00515DFF" w:rsidP="00515DFF">
      <w:pPr>
        <w:ind w:left="1701" w:hanging="425"/>
        <w:jc w:val="both"/>
        <w:rPr>
          <w:sz w:val="24"/>
        </w:rPr>
      </w:pPr>
      <w:r>
        <w:rPr>
          <w:sz w:val="24"/>
        </w:rPr>
        <w:t>3.2</w:t>
      </w:r>
      <w:r>
        <w:rPr>
          <w:sz w:val="24"/>
        </w:rPr>
        <w:tab/>
        <w:t>Per spostamenti superiori alle 10 ore gli importi dell’indennità di linea di cui al precedente punto 3.1 sono maggiorati del 20%.</w:t>
      </w:r>
    </w:p>
    <w:p w:rsidR="00515DFF" w:rsidRDefault="00515DFF" w:rsidP="00515DFF">
      <w:pPr>
        <w:ind w:left="1276" w:hanging="425"/>
        <w:jc w:val="both"/>
        <w:rPr>
          <w:sz w:val="24"/>
        </w:rPr>
      </w:pPr>
    </w:p>
    <w:p w:rsidR="00515DFF" w:rsidRDefault="00515DFF" w:rsidP="00515DFF">
      <w:pPr>
        <w:ind w:left="1701" w:hanging="425"/>
        <w:jc w:val="both"/>
        <w:rPr>
          <w:sz w:val="24"/>
        </w:rPr>
      </w:pPr>
      <w:r>
        <w:rPr>
          <w:sz w:val="24"/>
        </w:rPr>
        <w:t>3.3</w:t>
      </w:r>
      <w:r>
        <w:rPr>
          <w:sz w:val="24"/>
        </w:rPr>
        <w:tab/>
        <w:t>L’indennità di linea è soggetta allo stesso regime fiscale del trattamento di trasferta.</w:t>
      </w:r>
    </w:p>
    <w:p w:rsidR="00515DFF" w:rsidRDefault="00515DFF" w:rsidP="00515DFF">
      <w:pPr>
        <w:ind w:left="1701" w:hanging="425"/>
        <w:jc w:val="both"/>
        <w:rPr>
          <w:sz w:val="24"/>
        </w:rPr>
      </w:pPr>
    </w:p>
    <w:p w:rsidR="00515DFF" w:rsidRDefault="00515DFF" w:rsidP="00515DFF">
      <w:pPr>
        <w:ind w:left="1701" w:hanging="425"/>
        <w:jc w:val="both"/>
        <w:rPr>
          <w:sz w:val="24"/>
        </w:rPr>
      </w:pPr>
      <w:r>
        <w:rPr>
          <w:sz w:val="24"/>
        </w:rPr>
        <w:t>3.4</w:t>
      </w:r>
      <w:r>
        <w:rPr>
          <w:sz w:val="24"/>
        </w:rPr>
        <w:tab/>
        <w:t>L’indennità di linea è esclusa dal calcolo della retribuzione spettante per tutti gli istituti di legge e/o di contratto.</w:t>
      </w:r>
    </w:p>
    <w:p w:rsidR="00515DFF" w:rsidRDefault="00515DFF" w:rsidP="00515DFF">
      <w:pPr>
        <w:ind w:left="1276" w:hanging="426"/>
        <w:jc w:val="both"/>
        <w:rPr>
          <w:sz w:val="24"/>
        </w:rPr>
      </w:pPr>
    </w:p>
    <w:p w:rsidR="00515DFF" w:rsidRDefault="00515DFF" w:rsidP="00515DFF">
      <w:pPr>
        <w:ind w:left="1276" w:hanging="426"/>
        <w:jc w:val="both"/>
        <w:rPr>
          <w:sz w:val="24"/>
        </w:rPr>
      </w:pPr>
    </w:p>
    <w:p w:rsidR="00515DFF" w:rsidRDefault="00515DFF" w:rsidP="00515DFF">
      <w:pPr>
        <w:numPr>
          <w:ilvl w:val="0"/>
          <w:numId w:val="1"/>
        </w:numPr>
        <w:tabs>
          <w:tab w:val="clear" w:pos="360"/>
          <w:tab w:val="num" w:pos="-2552"/>
        </w:tabs>
        <w:ind w:left="1276" w:hanging="426"/>
        <w:jc w:val="both"/>
        <w:rPr>
          <w:sz w:val="24"/>
        </w:rPr>
      </w:pPr>
      <w:r>
        <w:rPr>
          <w:sz w:val="24"/>
        </w:rPr>
        <w:t>I trattamenti di cui ai precedenti punti 1, 2 e 3 non sono tra loro cumulabili.</w:t>
      </w:r>
    </w:p>
    <w:p w:rsidR="00515DFF" w:rsidRDefault="00515DFF" w:rsidP="00515DFF">
      <w:pPr>
        <w:jc w:val="both"/>
      </w:pPr>
    </w:p>
    <w:p w:rsidR="00515DFF" w:rsidRDefault="00515DFF" w:rsidP="00515DFF">
      <w:pPr>
        <w:jc w:val="both"/>
      </w:pPr>
    </w:p>
    <w:p w:rsidR="002F3276" w:rsidRDefault="002F3276"/>
    <w:sectPr w:rsidR="002F3276" w:rsidSect="000551B8">
      <w:headerReference w:type="default" r:id="rId8"/>
      <w:footerReference w:type="default" r:id="rId9"/>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14E" w:rsidRDefault="0030714E" w:rsidP="00515DFF">
      <w:r>
        <w:separator/>
      </w:r>
    </w:p>
  </w:endnote>
  <w:endnote w:type="continuationSeparator" w:id="0">
    <w:p w:rsidR="0030714E" w:rsidRDefault="0030714E" w:rsidP="00515D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4604"/>
      <w:docPartObj>
        <w:docPartGallery w:val="Page Numbers (Bottom of Page)"/>
        <w:docPartUnique/>
      </w:docPartObj>
    </w:sdtPr>
    <w:sdtContent>
      <w:p w:rsidR="00515DFF" w:rsidRDefault="008D1D5E">
        <w:pPr>
          <w:pStyle w:val="Pidipagina"/>
          <w:jc w:val="right"/>
        </w:pPr>
        <w:fldSimple w:instr=" PAGE   \* MERGEFORMAT ">
          <w:r w:rsidR="00E86613">
            <w:rPr>
              <w:noProof/>
            </w:rPr>
            <w:t>3</w:t>
          </w:r>
        </w:fldSimple>
      </w:p>
    </w:sdtContent>
  </w:sdt>
  <w:p w:rsidR="00515DFF" w:rsidRDefault="00515DF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14E" w:rsidRDefault="0030714E" w:rsidP="00515DFF">
      <w:r>
        <w:separator/>
      </w:r>
    </w:p>
  </w:footnote>
  <w:footnote w:type="continuationSeparator" w:id="0">
    <w:p w:rsidR="0030714E" w:rsidRDefault="0030714E" w:rsidP="00515D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FF" w:rsidRPr="00515DFF" w:rsidRDefault="00515DFF">
    <w:pPr>
      <w:pStyle w:val="Intestazione"/>
      <w:rPr>
        <w:i/>
      </w:rPr>
    </w:pPr>
    <w:r w:rsidRPr="00515DFF">
      <w:rPr>
        <w:i/>
      </w:rPr>
      <w:ptab w:relativeTo="margin" w:alignment="center" w:leader="none"/>
    </w:r>
    <w:r w:rsidRPr="00515DFF">
      <w:rPr>
        <w:i/>
      </w:rPr>
      <w:ptab w:relativeTo="margin" w:alignment="right" w:leader="none"/>
    </w:r>
    <w:r w:rsidRPr="00515DFF">
      <w:rPr>
        <w:i/>
      </w:rPr>
      <w:t xml:space="preserve">CCNL AF – </w:t>
    </w:r>
    <w:r w:rsidR="00B66342">
      <w:rPr>
        <w:i/>
      </w:rPr>
      <w:t>29</w:t>
    </w:r>
    <w:r w:rsidRPr="00515DFF">
      <w:rPr>
        <w:i/>
      </w:rPr>
      <w:t>.</w:t>
    </w:r>
    <w:r w:rsidR="00B66342">
      <w:rPr>
        <w:i/>
      </w:rPr>
      <w:t>3</w:t>
    </w:r>
    <w:r w:rsidRPr="00515DFF">
      <w:rPr>
        <w:i/>
      </w:rPr>
      <w:t>.201</w:t>
    </w:r>
    <w:r w:rsidR="00B66342">
      <w:rPr>
        <w:i/>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80656"/>
    <w:multiLevelType w:val="hybridMultilevel"/>
    <w:tmpl w:val="74541B3C"/>
    <w:lvl w:ilvl="0" w:tplc="FFFFFFFF">
      <w:start w:val="1"/>
      <w:numFmt w:val="bullet"/>
      <w:lvlText w:val=""/>
      <w:lvlJc w:val="left"/>
      <w:pPr>
        <w:tabs>
          <w:tab w:val="num" w:pos="2415"/>
        </w:tabs>
        <w:ind w:left="2415" w:hanging="360"/>
      </w:pPr>
      <w:rPr>
        <w:rFonts w:ascii="Symbol" w:hAnsi="Symbol" w:hint="default"/>
      </w:rPr>
    </w:lvl>
    <w:lvl w:ilvl="1" w:tplc="FFFFFFFF" w:tentative="1">
      <w:start w:val="1"/>
      <w:numFmt w:val="bullet"/>
      <w:lvlText w:val="o"/>
      <w:lvlJc w:val="left"/>
      <w:pPr>
        <w:tabs>
          <w:tab w:val="num" w:pos="3135"/>
        </w:tabs>
        <w:ind w:left="3135" w:hanging="360"/>
      </w:pPr>
      <w:rPr>
        <w:rFonts w:ascii="Courier New" w:hAnsi="Courier New" w:cs="Courier New" w:hint="default"/>
      </w:rPr>
    </w:lvl>
    <w:lvl w:ilvl="2" w:tplc="FFFFFFFF" w:tentative="1">
      <w:start w:val="1"/>
      <w:numFmt w:val="bullet"/>
      <w:lvlText w:val=""/>
      <w:lvlJc w:val="left"/>
      <w:pPr>
        <w:tabs>
          <w:tab w:val="num" w:pos="3855"/>
        </w:tabs>
        <w:ind w:left="3855" w:hanging="360"/>
      </w:pPr>
      <w:rPr>
        <w:rFonts w:ascii="Wingdings" w:hAnsi="Wingdings" w:hint="default"/>
      </w:rPr>
    </w:lvl>
    <w:lvl w:ilvl="3" w:tplc="FFFFFFFF" w:tentative="1">
      <w:start w:val="1"/>
      <w:numFmt w:val="bullet"/>
      <w:lvlText w:val=""/>
      <w:lvlJc w:val="left"/>
      <w:pPr>
        <w:tabs>
          <w:tab w:val="num" w:pos="4575"/>
        </w:tabs>
        <w:ind w:left="4575" w:hanging="360"/>
      </w:pPr>
      <w:rPr>
        <w:rFonts w:ascii="Symbol" w:hAnsi="Symbol" w:hint="default"/>
      </w:rPr>
    </w:lvl>
    <w:lvl w:ilvl="4" w:tplc="FFFFFFFF" w:tentative="1">
      <w:start w:val="1"/>
      <w:numFmt w:val="bullet"/>
      <w:lvlText w:val="o"/>
      <w:lvlJc w:val="left"/>
      <w:pPr>
        <w:tabs>
          <w:tab w:val="num" w:pos="5295"/>
        </w:tabs>
        <w:ind w:left="5295" w:hanging="360"/>
      </w:pPr>
      <w:rPr>
        <w:rFonts w:ascii="Courier New" w:hAnsi="Courier New" w:cs="Courier New" w:hint="default"/>
      </w:rPr>
    </w:lvl>
    <w:lvl w:ilvl="5" w:tplc="FFFFFFFF" w:tentative="1">
      <w:start w:val="1"/>
      <w:numFmt w:val="bullet"/>
      <w:lvlText w:val=""/>
      <w:lvlJc w:val="left"/>
      <w:pPr>
        <w:tabs>
          <w:tab w:val="num" w:pos="6015"/>
        </w:tabs>
        <w:ind w:left="6015" w:hanging="360"/>
      </w:pPr>
      <w:rPr>
        <w:rFonts w:ascii="Wingdings" w:hAnsi="Wingdings" w:hint="default"/>
      </w:rPr>
    </w:lvl>
    <w:lvl w:ilvl="6" w:tplc="FFFFFFFF" w:tentative="1">
      <w:start w:val="1"/>
      <w:numFmt w:val="bullet"/>
      <w:lvlText w:val=""/>
      <w:lvlJc w:val="left"/>
      <w:pPr>
        <w:tabs>
          <w:tab w:val="num" w:pos="6735"/>
        </w:tabs>
        <w:ind w:left="6735" w:hanging="360"/>
      </w:pPr>
      <w:rPr>
        <w:rFonts w:ascii="Symbol" w:hAnsi="Symbol" w:hint="default"/>
      </w:rPr>
    </w:lvl>
    <w:lvl w:ilvl="7" w:tplc="FFFFFFFF" w:tentative="1">
      <w:start w:val="1"/>
      <w:numFmt w:val="bullet"/>
      <w:lvlText w:val="o"/>
      <w:lvlJc w:val="left"/>
      <w:pPr>
        <w:tabs>
          <w:tab w:val="num" w:pos="7455"/>
        </w:tabs>
        <w:ind w:left="7455" w:hanging="360"/>
      </w:pPr>
      <w:rPr>
        <w:rFonts w:ascii="Courier New" w:hAnsi="Courier New" w:cs="Courier New" w:hint="default"/>
      </w:rPr>
    </w:lvl>
    <w:lvl w:ilvl="8" w:tplc="FFFFFFFF" w:tentative="1">
      <w:start w:val="1"/>
      <w:numFmt w:val="bullet"/>
      <w:lvlText w:val=""/>
      <w:lvlJc w:val="left"/>
      <w:pPr>
        <w:tabs>
          <w:tab w:val="num" w:pos="8175"/>
        </w:tabs>
        <w:ind w:left="8175" w:hanging="360"/>
      </w:pPr>
      <w:rPr>
        <w:rFonts w:ascii="Wingdings" w:hAnsi="Wingdings" w:hint="default"/>
      </w:rPr>
    </w:lvl>
  </w:abstractNum>
  <w:abstractNum w:abstractNumId="1">
    <w:nsid w:val="41F4799C"/>
    <w:multiLevelType w:val="hybridMultilevel"/>
    <w:tmpl w:val="64B0386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442621BD"/>
    <w:multiLevelType w:val="hybridMultilevel"/>
    <w:tmpl w:val="21F8A704"/>
    <w:lvl w:ilvl="0" w:tplc="FFFFFFFF">
      <w:start w:val="1"/>
      <w:numFmt w:val="bullet"/>
      <w:lvlText w:val=""/>
      <w:lvlJc w:val="left"/>
      <w:pPr>
        <w:tabs>
          <w:tab w:val="num" w:pos="2415"/>
        </w:tabs>
        <w:ind w:left="2415" w:hanging="360"/>
      </w:pPr>
      <w:rPr>
        <w:rFonts w:ascii="Symbol" w:hAnsi="Symbol" w:hint="default"/>
      </w:rPr>
    </w:lvl>
    <w:lvl w:ilvl="1" w:tplc="FFFFFFFF" w:tentative="1">
      <w:start w:val="1"/>
      <w:numFmt w:val="bullet"/>
      <w:lvlText w:val="o"/>
      <w:lvlJc w:val="left"/>
      <w:pPr>
        <w:tabs>
          <w:tab w:val="num" w:pos="3135"/>
        </w:tabs>
        <w:ind w:left="3135" w:hanging="360"/>
      </w:pPr>
      <w:rPr>
        <w:rFonts w:ascii="Courier New" w:hAnsi="Courier New" w:cs="Courier New" w:hint="default"/>
      </w:rPr>
    </w:lvl>
    <w:lvl w:ilvl="2" w:tplc="FFFFFFFF" w:tentative="1">
      <w:start w:val="1"/>
      <w:numFmt w:val="bullet"/>
      <w:lvlText w:val=""/>
      <w:lvlJc w:val="left"/>
      <w:pPr>
        <w:tabs>
          <w:tab w:val="num" w:pos="3855"/>
        </w:tabs>
        <w:ind w:left="3855" w:hanging="360"/>
      </w:pPr>
      <w:rPr>
        <w:rFonts w:ascii="Wingdings" w:hAnsi="Wingdings" w:hint="default"/>
      </w:rPr>
    </w:lvl>
    <w:lvl w:ilvl="3" w:tplc="FFFFFFFF" w:tentative="1">
      <w:start w:val="1"/>
      <w:numFmt w:val="bullet"/>
      <w:lvlText w:val=""/>
      <w:lvlJc w:val="left"/>
      <w:pPr>
        <w:tabs>
          <w:tab w:val="num" w:pos="4575"/>
        </w:tabs>
        <w:ind w:left="4575" w:hanging="360"/>
      </w:pPr>
      <w:rPr>
        <w:rFonts w:ascii="Symbol" w:hAnsi="Symbol" w:hint="default"/>
      </w:rPr>
    </w:lvl>
    <w:lvl w:ilvl="4" w:tplc="FFFFFFFF" w:tentative="1">
      <w:start w:val="1"/>
      <w:numFmt w:val="bullet"/>
      <w:lvlText w:val="o"/>
      <w:lvlJc w:val="left"/>
      <w:pPr>
        <w:tabs>
          <w:tab w:val="num" w:pos="5295"/>
        </w:tabs>
        <w:ind w:left="5295" w:hanging="360"/>
      </w:pPr>
      <w:rPr>
        <w:rFonts w:ascii="Courier New" w:hAnsi="Courier New" w:cs="Courier New" w:hint="default"/>
      </w:rPr>
    </w:lvl>
    <w:lvl w:ilvl="5" w:tplc="FFFFFFFF" w:tentative="1">
      <w:start w:val="1"/>
      <w:numFmt w:val="bullet"/>
      <w:lvlText w:val=""/>
      <w:lvlJc w:val="left"/>
      <w:pPr>
        <w:tabs>
          <w:tab w:val="num" w:pos="6015"/>
        </w:tabs>
        <w:ind w:left="6015" w:hanging="360"/>
      </w:pPr>
      <w:rPr>
        <w:rFonts w:ascii="Wingdings" w:hAnsi="Wingdings" w:hint="default"/>
      </w:rPr>
    </w:lvl>
    <w:lvl w:ilvl="6" w:tplc="FFFFFFFF" w:tentative="1">
      <w:start w:val="1"/>
      <w:numFmt w:val="bullet"/>
      <w:lvlText w:val=""/>
      <w:lvlJc w:val="left"/>
      <w:pPr>
        <w:tabs>
          <w:tab w:val="num" w:pos="6735"/>
        </w:tabs>
        <w:ind w:left="6735" w:hanging="360"/>
      </w:pPr>
      <w:rPr>
        <w:rFonts w:ascii="Symbol" w:hAnsi="Symbol" w:hint="default"/>
      </w:rPr>
    </w:lvl>
    <w:lvl w:ilvl="7" w:tplc="FFFFFFFF" w:tentative="1">
      <w:start w:val="1"/>
      <w:numFmt w:val="bullet"/>
      <w:lvlText w:val="o"/>
      <w:lvlJc w:val="left"/>
      <w:pPr>
        <w:tabs>
          <w:tab w:val="num" w:pos="7455"/>
        </w:tabs>
        <w:ind w:left="7455" w:hanging="360"/>
      </w:pPr>
      <w:rPr>
        <w:rFonts w:ascii="Courier New" w:hAnsi="Courier New" w:cs="Courier New" w:hint="default"/>
      </w:rPr>
    </w:lvl>
    <w:lvl w:ilvl="8" w:tplc="FFFFFFFF" w:tentative="1">
      <w:start w:val="1"/>
      <w:numFmt w:val="bullet"/>
      <w:lvlText w:val=""/>
      <w:lvlJc w:val="left"/>
      <w:pPr>
        <w:tabs>
          <w:tab w:val="num" w:pos="8175"/>
        </w:tabs>
        <w:ind w:left="8175" w:hanging="360"/>
      </w:pPr>
      <w:rPr>
        <w:rFonts w:ascii="Wingdings" w:hAnsi="Wingdings" w:hint="default"/>
      </w:rPr>
    </w:lvl>
  </w:abstractNum>
  <w:abstractNum w:abstractNumId="3">
    <w:nsid w:val="4FD444E7"/>
    <w:multiLevelType w:val="singleLevel"/>
    <w:tmpl w:val="99364EC0"/>
    <w:lvl w:ilvl="0">
      <w:start w:val="1"/>
      <w:numFmt w:val="lowerLetter"/>
      <w:lvlText w:val="%1)"/>
      <w:lvlJc w:val="left"/>
      <w:pPr>
        <w:tabs>
          <w:tab w:val="num" w:pos="360"/>
        </w:tabs>
        <w:ind w:left="360" w:hanging="360"/>
      </w:pPr>
    </w:lvl>
  </w:abstractNum>
  <w:abstractNum w:abstractNumId="4">
    <w:nsid w:val="5E437903"/>
    <w:multiLevelType w:val="multilevel"/>
    <w:tmpl w:val="4E8A9866"/>
    <w:lvl w:ilvl="0">
      <w:start w:val="1"/>
      <w:numFmt w:val="decimal"/>
      <w:lvlText w:val="%1."/>
      <w:lvlJc w:val="left"/>
      <w:pPr>
        <w:tabs>
          <w:tab w:val="num" w:pos="360"/>
        </w:tabs>
        <w:ind w:left="360" w:hanging="360"/>
      </w:pPr>
    </w:lvl>
    <w:lvl w:ilvl="1">
      <w:start w:val="2"/>
      <w:numFmt w:val="decimal"/>
      <w:isLgl/>
      <w:lvlText w:val="%1.%2"/>
      <w:lvlJc w:val="left"/>
      <w:pPr>
        <w:ind w:left="1636"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9096" w:hanging="1440"/>
      </w:pPr>
      <w:rPr>
        <w:rFonts w:hint="default"/>
      </w:rPr>
    </w:lvl>
    <w:lvl w:ilvl="7">
      <w:start w:val="1"/>
      <w:numFmt w:val="decimal"/>
      <w:isLgl/>
      <w:lvlText w:val="%1.%2.%3.%4.%5.%6.%7.%8"/>
      <w:lvlJc w:val="left"/>
      <w:pPr>
        <w:ind w:left="10372" w:hanging="1440"/>
      </w:pPr>
      <w:rPr>
        <w:rFonts w:hint="default"/>
      </w:rPr>
    </w:lvl>
    <w:lvl w:ilvl="8">
      <w:start w:val="1"/>
      <w:numFmt w:val="decimal"/>
      <w:isLgl/>
      <w:lvlText w:val="%1.%2.%3.%4.%5.%6.%7.%8.%9"/>
      <w:lvlJc w:val="left"/>
      <w:pPr>
        <w:ind w:left="12008" w:hanging="1800"/>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515DFF"/>
    <w:rsid w:val="000551B8"/>
    <w:rsid w:val="0007611F"/>
    <w:rsid w:val="00082FFD"/>
    <w:rsid w:val="00184EAC"/>
    <w:rsid w:val="001954FD"/>
    <w:rsid w:val="001D6292"/>
    <w:rsid w:val="001E0ADD"/>
    <w:rsid w:val="001F4C82"/>
    <w:rsid w:val="002B1E31"/>
    <w:rsid w:val="002F3276"/>
    <w:rsid w:val="0030714E"/>
    <w:rsid w:val="0032244E"/>
    <w:rsid w:val="0039425B"/>
    <w:rsid w:val="003B7415"/>
    <w:rsid w:val="0040661C"/>
    <w:rsid w:val="0041740F"/>
    <w:rsid w:val="004E6D27"/>
    <w:rsid w:val="00515DFF"/>
    <w:rsid w:val="005711FE"/>
    <w:rsid w:val="005C38B4"/>
    <w:rsid w:val="006E5F7E"/>
    <w:rsid w:val="008D1D5E"/>
    <w:rsid w:val="009231DD"/>
    <w:rsid w:val="00A36773"/>
    <w:rsid w:val="00AF3EAB"/>
    <w:rsid w:val="00B66342"/>
    <w:rsid w:val="00BB5AD7"/>
    <w:rsid w:val="00C02F8E"/>
    <w:rsid w:val="00C34B0E"/>
    <w:rsid w:val="00C55F4B"/>
    <w:rsid w:val="00D00423"/>
    <w:rsid w:val="00D87EE9"/>
    <w:rsid w:val="00E86613"/>
    <w:rsid w:val="00FC02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5DFF"/>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515DFF"/>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515DFF"/>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rsid w:val="00515DFF"/>
    <w:pPr>
      <w:ind w:left="284"/>
      <w:jc w:val="both"/>
    </w:pPr>
    <w:rPr>
      <w:sz w:val="24"/>
    </w:rPr>
  </w:style>
  <w:style w:type="character" w:customStyle="1" w:styleId="RientrocorpodeltestoCarattere">
    <w:name w:val="Rientro corpo del testo Carattere"/>
    <w:basedOn w:val="Carpredefinitoparagrafo"/>
    <w:link w:val="Rientrocorpodeltesto"/>
    <w:rsid w:val="00515DFF"/>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515DFF"/>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15DFF"/>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15DFF"/>
    <w:pPr>
      <w:tabs>
        <w:tab w:val="center" w:pos="4819"/>
        <w:tab w:val="right" w:pos="9638"/>
      </w:tabs>
    </w:pPr>
  </w:style>
  <w:style w:type="character" w:customStyle="1" w:styleId="PidipaginaCarattere">
    <w:name w:val="Piè di pagina Carattere"/>
    <w:basedOn w:val="Carpredefinitoparagrafo"/>
    <w:link w:val="Pidipagina"/>
    <w:uiPriority w:val="99"/>
    <w:rsid w:val="00515DFF"/>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515DF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5DFF"/>
    <w:rPr>
      <w:rFonts w:ascii="Tahoma" w:eastAsia="Times New Roman" w:hAnsi="Tahoma" w:cs="Tahoma"/>
      <w:sz w:val="16"/>
      <w:szCs w:val="16"/>
      <w:lang w:eastAsia="it-IT"/>
    </w:rPr>
  </w:style>
  <w:style w:type="paragraph" w:styleId="Paragrafoelenco">
    <w:name w:val="List Paragraph"/>
    <w:basedOn w:val="Normale"/>
    <w:uiPriority w:val="34"/>
    <w:qFormat/>
    <w:rsid w:val="006E5F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D6B4F-98F1-4BFE-97B8-0DED69925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1309</Words>
  <Characters>7467</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14</cp:revision>
  <dcterms:created xsi:type="dcterms:W3CDTF">2011-10-16T17:12:00Z</dcterms:created>
  <dcterms:modified xsi:type="dcterms:W3CDTF">2012-03-29T06:15:00Z</dcterms:modified>
</cp:coreProperties>
</file>