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BDC" w:rsidRDefault="00335BDC" w:rsidP="00CD7525">
      <w:pPr>
        <w:pStyle w:val="Rientrocorpodeltesto2"/>
        <w:ind w:left="1701" w:hanging="1701"/>
        <w:jc w:val="both"/>
      </w:pPr>
      <w:r>
        <w:t xml:space="preserve">ART.   </w:t>
      </w:r>
      <w:r w:rsidR="00CD7525">
        <w:t>8 bis</w:t>
      </w:r>
      <w:r>
        <w:t xml:space="preserve">  - </w:t>
      </w:r>
      <w:r>
        <w:tab/>
        <w:t>PERMESSI PER MOTIVI SINDACALI E CARICHE ELETTIVE</w:t>
      </w:r>
    </w:p>
    <w:p w:rsidR="00335BDC" w:rsidRDefault="00335BDC" w:rsidP="00335BDC">
      <w:pPr>
        <w:rPr>
          <w:b/>
          <w:sz w:val="24"/>
        </w:rPr>
      </w:pPr>
    </w:p>
    <w:p w:rsidR="00335BDC" w:rsidRDefault="00335BDC" w:rsidP="00CD7525">
      <w:pPr>
        <w:numPr>
          <w:ilvl w:val="0"/>
          <w:numId w:val="1"/>
        </w:numPr>
        <w:tabs>
          <w:tab w:val="clear" w:pos="360"/>
          <w:tab w:val="num" w:pos="-4820"/>
        </w:tabs>
        <w:ind w:left="426" w:hanging="426"/>
        <w:jc w:val="both"/>
        <w:rPr>
          <w:sz w:val="24"/>
        </w:rPr>
      </w:pPr>
      <w:r>
        <w:rPr>
          <w:sz w:val="24"/>
        </w:rPr>
        <w:t xml:space="preserve">I componenti le RSU hanno diritto, per l’espletamento del loro mandato, a permessi in conformità a quanto previsto dagli artt. 23 e 24 della legge 20.5.1970, n. 300 e dall’Accordo Interconfederale del 20.12.1993. </w:t>
      </w:r>
    </w:p>
    <w:p w:rsidR="00335BDC" w:rsidRDefault="00335BDC" w:rsidP="00CD7525">
      <w:pPr>
        <w:tabs>
          <w:tab w:val="num" w:pos="-4820"/>
        </w:tabs>
        <w:ind w:left="426" w:hanging="426"/>
        <w:jc w:val="both"/>
        <w:rPr>
          <w:sz w:val="24"/>
        </w:rPr>
      </w:pPr>
    </w:p>
    <w:p w:rsidR="00335BDC" w:rsidRDefault="00335BDC" w:rsidP="00CD7525">
      <w:pPr>
        <w:numPr>
          <w:ilvl w:val="0"/>
          <w:numId w:val="1"/>
        </w:numPr>
        <w:tabs>
          <w:tab w:val="clear" w:pos="360"/>
          <w:tab w:val="num" w:pos="-4820"/>
        </w:tabs>
        <w:ind w:left="426" w:hanging="426"/>
        <w:jc w:val="both"/>
        <w:rPr>
          <w:sz w:val="24"/>
        </w:rPr>
      </w:pPr>
      <w:r>
        <w:rPr>
          <w:sz w:val="24"/>
        </w:rPr>
        <w:t>Ai lavoratori che siano componenti degli organismi direttivi nazionali e regionali/territoriali, anche confederali, delle Organizzazioni Sindacali stipulanti, saranno concessi permessi retribuiti giornalieri fino ad un massimo di 10 giorni per ciascun anno per il disimpegno delle loro funzioni.</w:t>
      </w:r>
    </w:p>
    <w:p w:rsidR="00335BDC" w:rsidRDefault="00335BDC" w:rsidP="00CD7525">
      <w:pPr>
        <w:tabs>
          <w:tab w:val="num" w:pos="-4820"/>
        </w:tabs>
        <w:ind w:left="426" w:hanging="426"/>
        <w:jc w:val="both"/>
        <w:rPr>
          <w:sz w:val="24"/>
        </w:rPr>
      </w:pPr>
    </w:p>
    <w:p w:rsidR="00335BDC" w:rsidRDefault="00335BDC" w:rsidP="00CD7525">
      <w:pPr>
        <w:numPr>
          <w:ilvl w:val="0"/>
          <w:numId w:val="1"/>
        </w:numPr>
        <w:tabs>
          <w:tab w:val="clear" w:pos="360"/>
          <w:tab w:val="num" w:pos="-4820"/>
        </w:tabs>
        <w:ind w:left="426" w:hanging="426"/>
        <w:jc w:val="both"/>
        <w:rPr>
          <w:sz w:val="24"/>
        </w:rPr>
      </w:pPr>
      <w:r>
        <w:rPr>
          <w:sz w:val="24"/>
        </w:rPr>
        <w:t>Tali permessi potranno essere fruiti consecutivamente per un massimo di tre giornate lavorative.</w:t>
      </w:r>
    </w:p>
    <w:p w:rsidR="00335BDC" w:rsidRDefault="00335BDC" w:rsidP="00CD7525">
      <w:pPr>
        <w:tabs>
          <w:tab w:val="num" w:pos="-4820"/>
        </w:tabs>
        <w:ind w:left="426" w:hanging="426"/>
        <w:jc w:val="both"/>
        <w:rPr>
          <w:sz w:val="24"/>
        </w:rPr>
      </w:pPr>
    </w:p>
    <w:p w:rsidR="00335BDC" w:rsidRDefault="00335BDC" w:rsidP="00CD7525">
      <w:pPr>
        <w:numPr>
          <w:ilvl w:val="0"/>
          <w:numId w:val="2"/>
        </w:numPr>
        <w:tabs>
          <w:tab w:val="clear" w:pos="360"/>
          <w:tab w:val="num" w:pos="-4820"/>
        </w:tabs>
        <w:ind w:left="426" w:hanging="426"/>
        <w:jc w:val="both"/>
        <w:rPr>
          <w:sz w:val="24"/>
        </w:rPr>
      </w:pPr>
      <w:r>
        <w:rPr>
          <w:sz w:val="24"/>
        </w:rPr>
        <w:t>Le Organizzazioni Sindacali stipulanti il presente CCNL avanzeranno la richiesta di fruizione di detti permessi per iscritto almeno due giorni prima della data prevista dell’assenza, al fine di consentire le necessarie sostituzioni per garantire la regolare circolazione dei treni. A fronte di eventi eccezionali o non prevedibili (a titolo esemplificativo: calamità naturali, elevata concentrazione di eventi morbosi), l’azienda dovrà motivare  l’eventuale diniego del permesso con comunicazione scritta alla Organizzazione Sindacale richiedente almeno 24 ore prima della data prevista dell’assenza.</w:t>
      </w:r>
    </w:p>
    <w:p w:rsidR="00335BDC" w:rsidRDefault="00335BDC" w:rsidP="00CD7525">
      <w:pPr>
        <w:tabs>
          <w:tab w:val="num" w:pos="-4820"/>
        </w:tabs>
        <w:ind w:left="426" w:hanging="426"/>
        <w:jc w:val="both"/>
        <w:rPr>
          <w:sz w:val="24"/>
        </w:rPr>
      </w:pPr>
    </w:p>
    <w:p w:rsidR="00335BDC" w:rsidRDefault="00335BDC" w:rsidP="00CD7525">
      <w:pPr>
        <w:numPr>
          <w:ilvl w:val="0"/>
          <w:numId w:val="3"/>
        </w:numPr>
        <w:tabs>
          <w:tab w:val="clear" w:pos="360"/>
          <w:tab w:val="num" w:pos="-4820"/>
          <w:tab w:val="num" w:pos="-1560"/>
        </w:tabs>
        <w:ind w:left="426" w:hanging="426"/>
        <w:jc w:val="both"/>
        <w:rPr>
          <w:sz w:val="24"/>
        </w:rPr>
      </w:pPr>
      <w:r>
        <w:rPr>
          <w:sz w:val="24"/>
        </w:rPr>
        <w:t>L’appartenenza agli organismi direttivi di cui al precedente punto 2 e le relative variazioni dovranno essere comunicate per iscritto dalle Organizzazioni Sindacali stipulanti il presente CCNL alle Associazioni Industriali territoriali e alle aziende interessate.</w:t>
      </w:r>
    </w:p>
    <w:p w:rsidR="00335BDC" w:rsidRDefault="00335BDC" w:rsidP="00CD7525">
      <w:pPr>
        <w:tabs>
          <w:tab w:val="num" w:pos="-4820"/>
        </w:tabs>
        <w:ind w:left="426" w:hanging="426"/>
        <w:jc w:val="both"/>
        <w:rPr>
          <w:sz w:val="24"/>
        </w:rPr>
      </w:pPr>
    </w:p>
    <w:p w:rsidR="00335BDC" w:rsidRPr="00373D5A" w:rsidRDefault="00335BDC" w:rsidP="00CD7525">
      <w:pPr>
        <w:numPr>
          <w:ilvl w:val="0"/>
          <w:numId w:val="3"/>
        </w:numPr>
        <w:tabs>
          <w:tab w:val="num" w:pos="-4820"/>
        </w:tabs>
        <w:ind w:left="426" w:hanging="426"/>
        <w:jc w:val="both"/>
        <w:rPr>
          <w:sz w:val="24"/>
        </w:rPr>
      </w:pPr>
      <w:r w:rsidRPr="00373D5A">
        <w:rPr>
          <w:sz w:val="24"/>
        </w:rPr>
        <w:t>Ai lavoratori chiamati a funzioni pubbliche elettive o a ricoprire cariche sindacali nazionali o territoriali si applicano le disposizioni di cui all’art. 31 della legge 20.5.1970, n. 300 ed al T.U. approvato con D.Lgs. 18.8.2000, n. 267</w:t>
      </w:r>
      <w:r w:rsidR="00373D5A" w:rsidRPr="00373D5A">
        <w:rPr>
          <w:sz w:val="24"/>
        </w:rPr>
        <w:t xml:space="preserve"> e successive modifiche ed integrazioni</w:t>
      </w:r>
      <w:r w:rsidRPr="00373D5A">
        <w:rPr>
          <w:sz w:val="24"/>
        </w:rPr>
        <w:t>.</w:t>
      </w:r>
    </w:p>
    <w:p w:rsidR="00335BDC" w:rsidRDefault="00335BDC" w:rsidP="00CD7525">
      <w:pPr>
        <w:tabs>
          <w:tab w:val="num" w:pos="-4820"/>
        </w:tabs>
        <w:ind w:left="426" w:hanging="426"/>
        <w:jc w:val="both"/>
        <w:rPr>
          <w:sz w:val="24"/>
        </w:rPr>
      </w:pPr>
    </w:p>
    <w:p w:rsidR="00335BDC" w:rsidRDefault="007C4002" w:rsidP="00CD7525">
      <w:pPr>
        <w:numPr>
          <w:ilvl w:val="0"/>
          <w:numId w:val="3"/>
        </w:numPr>
        <w:tabs>
          <w:tab w:val="num" w:pos="-4820"/>
        </w:tabs>
        <w:ind w:left="426" w:hanging="426"/>
        <w:jc w:val="both"/>
        <w:rPr>
          <w:sz w:val="24"/>
        </w:rPr>
      </w:pPr>
      <w:r>
        <w:rPr>
          <w:sz w:val="24"/>
        </w:rPr>
        <w:t>Ai sensi dell’art. 15 del CCNL della Mobilità del 30.9.2010, i</w:t>
      </w:r>
      <w:r w:rsidR="00335BDC">
        <w:rPr>
          <w:sz w:val="24"/>
        </w:rPr>
        <w:t xml:space="preserve"> permessi di cui al presente articolo non sono cumulabili con quelli stabiliti allo stesso titolo da accordi aziendali, nonché con quelli che dovessero derivare da disposizioni di legge. Sono fatti salvi gli accordi relativi ai permessi sindacali stipulati tra le parti a livello aziendale. </w:t>
      </w:r>
    </w:p>
    <w:p w:rsidR="00335BDC" w:rsidRDefault="00335BDC" w:rsidP="00CD7525">
      <w:pPr>
        <w:tabs>
          <w:tab w:val="num" w:pos="-4820"/>
        </w:tabs>
        <w:ind w:left="426" w:hanging="426"/>
        <w:jc w:val="both"/>
        <w:rPr>
          <w:sz w:val="24"/>
        </w:rPr>
      </w:pPr>
    </w:p>
    <w:p w:rsidR="00335BDC" w:rsidRDefault="00335BDC" w:rsidP="00CD7525">
      <w:pPr>
        <w:numPr>
          <w:ilvl w:val="0"/>
          <w:numId w:val="3"/>
        </w:numPr>
        <w:tabs>
          <w:tab w:val="num" w:pos="-4820"/>
        </w:tabs>
        <w:ind w:left="426" w:hanging="426"/>
        <w:jc w:val="both"/>
        <w:rPr>
          <w:sz w:val="24"/>
        </w:rPr>
      </w:pPr>
      <w:r>
        <w:rPr>
          <w:sz w:val="24"/>
        </w:rPr>
        <w:t xml:space="preserve">I permessi sindacali retribuiti (ore o giornate) saranno liquidati in base alla </w:t>
      </w:r>
      <w:r w:rsidRPr="006E0F00">
        <w:rPr>
          <w:i/>
          <w:sz w:val="24"/>
        </w:rPr>
        <w:t>retribuzione di cui al punto 1.1 ed alle lettere c), o) del punto 1.2 dell’art. 63 (Retribuzione)</w:t>
      </w:r>
      <w:r>
        <w:rPr>
          <w:sz w:val="24"/>
        </w:rPr>
        <w:t xml:space="preserve"> del presente CCNL e sono utili ai fini del passaggio al</w:t>
      </w:r>
      <w:r w:rsidR="006E0F00">
        <w:rPr>
          <w:sz w:val="24"/>
        </w:rPr>
        <w:t xml:space="preserve">la posizione </w:t>
      </w:r>
      <w:r>
        <w:rPr>
          <w:sz w:val="24"/>
        </w:rPr>
        <w:t xml:space="preserve">  retributiv</w:t>
      </w:r>
      <w:r w:rsidR="006E0F00">
        <w:rPr>
          <w:sz w:val="24"/>
        </w:rPr>
        <w:t>a</w:t>
      </w:r>
      <w:r>
        <w:rPr>
          <w:sz w:val="24"/>
        </w:rPr>
        <w:t xml:space="preserve"> superiore nell’ambito dello stesso livello professionale, nonché a tutti gli altri fini contrattuali.</w:t>
      </w:r>
    </w:p>
    <w:p w:rsidR="002F3276" w:rsidRDefault="002F3276" w:rsidP="00CD7525">
      <w:pPr>
        <w:tabs>
          <w:tab w:val="num" w:pos="-4820"/>
        </w:tabs>
        <w:ind w:left="426" w:hanging="426"/>
      </w:pPr>
    </w:p>
    <w:sectPr w:rsidR="002F3276" w:rsidSect="002F3276">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427" w:rsidRDefault="00183427" w:rsidP="006E0F00">
      <w:r>
        <w:separator/>
      </w:r>
    </w:p>
  </w:endnote>
  <w:endnote w:type="continuationSeparator" w:id="0">
    <w:p w:rsidR="00183427" w:rsidRDefault="00183427" w:rsidP="006E0F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427" w:rsidRDefault="00183427" w:rsidP="006E0F00">
      <w:r>
        <w:separator/>
      </w:r>
    </w:p>
  </w:footnote>
  <w:footnote w:type="continuationSeparator" w:id="0">
    <w:p w:rsidR="00183427" w:rsidRDefault="00183427" w:rsidP="006E0F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F00" w:rsidRPr="006E0F00" w:rsidRDefault="006E0F00">
    <w:pPr>
      <w:pStyle w:val="Intestazione"/>
      <w:rPr>
        <w:i/>
      </w:rPr>
    </w:pPr>
    <w:r w:rsidRPr="006E0F00">
      <w:rPr>
        <w:i/>
      </w:rPr>
      <w:ptab w:relativeTo="margin" w:alignment="center" w:leader="none"/>
    </w:r>
    <w:r w:rsidRPr="006E0F00">
      <w:rPr>
        <w:i/>
      </w:rPr>
      <w:ptab w:relativeTo="margin" w:alignment="right" w:leader="none"/>
    </w:r>
    <w:r w:rsidRPr="006E0F00">
      <w:rPr>
        <w:i/>
      </w:rPr>
      <w:t xml:space="preserve">CCNL AF – </w:t>
    </w:r>
    <w:r w:rsidR="001466FE">
      <w:rPr>
        <w:i/>
      </w:rPr>
      <w:t>29</w:t>
    </w:r>
    <w:r w:rsidRPr="006E0F00">
      <w:rPr>
        <w:i/>
      </w:rPr>
      <w:t>.</w:t>
    </w:r>
    <w:r w:rsidR="001466FE">
      <w:rPr>
        <w:i/>
      </w:rPr>
      <w:t>3</w:t>
    </w:r>
    <w:r w:rsidRPr="006E0F00">
      <w:rPr>
        <w:i/>
      </w:rPr>
      <w:t>.2</w:t>
    </w:r>
    <w:r w:rsidR="001466FE">
      <w:rPr>
        <w:i/>
      </w:rPr>
      <w:t>012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15DF7"/>
    <w:multiLevelType w:val="singleLevel"/>
    <w:tmpl w:val="0D46A8D2"/>
    <w:lvl w:ilvl="0">
      <w:start w:val="5"/>
      <w:numFmt w:val="decimal"/>
      <w:lvlText w:val="%1."/>
      <w:lvlJc w:val="left"/>
      <w:pPr>
        <w:tabs>
          <w:tab w:val="num" w:pos="360"/>
        </w:tabs>
        <w:ind w:left="360" w:hanging="360"/>
      </w:pPr>
    </w:lvl>
  </w:abstractNum>
  <w:abstractNum w:abstractNumId="1">
    <w:nsid w:val="2E18167E"/>
    <w:multiLevelType w:val="singleLevel"/>
    <w:tmpl w:val="BCCC6056"/>
    <w:lvl w:ilvl="0">
      <w:start w:val="4"/>
      <w:numFmt w:val="decimal"/>
      <w:lvlText w:val="%1."/>
      <w:lvlJc w:val="left"/>
      <w:pPr>
        <w:tabs>
          <w:tab w:val="num" w:pos="360"/>
        </w:tabs>
        <w:ind w:left="360" w:hanging="360"/>
      </w:pPr>
    </w:lvl>
  </w:abstractNum>
  <w:abstractNum w:abstractNumId="2">
    <w:nsid w:val="3A700DBA"/>
    <w:multiLevelType w:val="singleLevel"/>
    <w:tmpl w:val="8BAEFAFE"/>
    <w:lvl w:ilvl="0">
      <w:start w:val="1"/>
      <w:numFmt w:val="decimal"/>
      <w:lvlText w:val="%1."/>
      <w:lvlJc w:val="left"/>
      <w:pPr>
        <w:tabs>
          <w:tab w:val="num" w:pos="360"/>
        </w:tabs>
        <w:ind w:left="36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335BDC"/>
    <w:rsid w:val="00033F48"/>
    <w:rsid w:val="00065664"/>
    <w:rsid w:val="001466FE"/>
    <w:rsid w:val="00183427"/>
    <w:rsid w:val="002F3276"/>
    <w:rsid w:val="00335BDC"/>
    <w:rsid w:val="00373D5A"/>
    <w:rsid w:val="00690ACE"/>
    <w:rsid w:val="006E0F00"/>
    <w:rsid w:val="007C4002"/>
    <w:rsid w:val="00896F22"/>
    <w:rsid w:val="008F3027"/>
    <w:rsid w:val="00CD752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35BDC"/>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rsid w:val="00335BDC"/>
    <w:pPr>
      <w:ind w:left="1276" w:hanging="1276"/>
    </w:pPr>
    <w:rPr>
      <w:b/>
      <w:sz w:val="24"/>
    </w:rPr>
  </w:style>
  <w:style w:type="character" w:customStyle="1" w:styleId="Rientrocorpodeltesto2Carattere">
    <w:name w:val="Rientro corpo del testo 2 Carattere"/>
    <w:basedOn w:val="Carpredefinitoparagrafo"/>
    <w:link w:val="Rientrocorpodeltesto2"/>
    <w:rsid w:val="00335BDC"/>
    <w:rPr>
      <w:rFonts w:ascii="Times New Roman" w:eastAsia="Times New Roman" w:hAnsi="Times New Roman" w:cs="Times New Roman"/>
      <w:b/>
      <w:sz w:val="24"/>
      <w:szCs w:val="20"/>
      <w:lang w:eastAsia="it-IT"/>
    </w:rPr>
  </w:style>
  <w:style w:type="paragraph" w:styleId="Intestazione">
    <w:name w:val="header"/>
    <w:basedOn w:val="Normale"/>
    <w:link w:val="IntestazioneCarattere"/>
    <w:uiPriority w:val="99"/>
    <w:semiHidden/>
    <w:unhideWhenUsed/>
    <w:rsid w:val="006E0F00"/>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6E0F00"/>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6E0F00"/>
    <w:pPr>
      <w:tabs>
        <w:tab w:val="center" w:pos="4819"/>
        <w:tab w:val="right" w:pos="9638"/>
      </w:tabs>
    </w:pPr>
  </w:style>
  <w:style w:type="character" w:customStyle="1" w:styleId="PidipaginaCarattere">
    <w:name w:val="Piè di pagina Carattere"/>
    <w:basedOn w:val="Carpredefinitoparagrafo"/>
    <w:link w:val="Pidipagina"/>
    <w:uiPriority w:val="99"/>
    <w:semiHidden/>
    <w:rsid w:val="006E0F00"/>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6E0F0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E0F00"/>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379</Words>
  <Characters>2162</Characters>
  <Application>Microsoft Office Word</Application>
  <DocSecurity>0</DocSecurity>
  <Lines>18</Lines>
  <Paragraphs>5</Paragraphs>
  <ScaleCrop>false</ScaleCrop>
  <Company/>
  <LinksUpToDate>false</LinksUpToDate>
  <CharactersWithSpaces>2536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SAVINO STEFANO</cp:lastModifiedBy>
  <cp:revision>6</cp:revision>
  <cp:lastPrinted>2012-03-28T13:15:00Z</cp:lastPrinted>
  <dcterms:created xsi:type="dcterms:W3CDTF">2011-10-16T16:35:00Z</dcterms:created>
  <dcterms:modified xsi:type="dcterms:W3CDTF">2012-03-28T13:15:00Z</dcterms:modified>
</cp:coreProperties>
</file>