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90" w:rsidRDefault="003F7F90" w:rsidP="00525DA7">
      <w:pPr>
        <w:pStyle w:val="Titolo2"/>
        <w:ind w:left="2127" w:hanging="1276"/>
        <w:rPr>
          <w:b/>
        </w:rPr>
      </w:pPr>
      <w:r>
        <w:rPr>
          <w:b/>
        </w:rPr>
        <w:t xml:space="preserve">ART.  </w:t>
      </w:r>
      <w:r w:rsidR="00AD71F1">
        <w:rPr>
          <w:b/>
        </w:rPr>
        <w:t>8</w:t>
      </w:r>
      <w:r w:rsidR="008825BF">
        <w:rPr>
          <w:b/>
        </w:rPr>
        <w:t>3</w:t>
      </w:r>
      <w:r>
        <w:rPr>
          <w:b/>
        </w:rPr>
        <w:t xml:space="preserve">  - </w:t>
      </w:r>
      <w:r w:rsidR="00525DA7">
        <w:rPr>
          <w:b/>
        </w:rPr>
        <w:tab/>
      </w:r>
      <w:r>
        <w:rPr>
          <w:b/>
        </w:rPr>
        <w:t>TRATTAMENTO DI FINE RAPPORTO</w:t>
      </w:r>
      <w:r w:rsidR="002D3DA3">
        <w:rPr>
          <w:b/>
        </w:rPr>
        <w:t xml:space="preserve"> (TFR)</w:t>
      </w:r>
    </w:p>
    <w:p w:rsidR="003F7F90" w:rsidRDefault="003F7F90" w:rsidP="003F7F90">
      <w:pPr>
        <w:jc w:val="both"/>
        <w:rPr>
          <w:sz w:val="24"/>
        </w:rPr>
      </w:pPr>
    </w:p>
    <w:p w:rsidR="003F7F90" w:rsidRDefault="003F7F90" w:rsidP="003F7F90">
      <w:pPr>
        <w:numPr>
          <w:ilvl w:val="0"/>
          <w:numId w:val="2"/>
        </w:numPr>
        <w:tabs>
          <w:tab w:val="clear" w:pos="360"/>
          <w:tab w:val="num" w:pos="-2552"/>
        </w:tabs>
        <w:ind w:left="1276" w:hanging="426"/>
        <w:jc w:val="both"/>
        <w:rPr>
          <w:sz w:val="24"/>
        </w:rPr>
      </w:pPr>
      <w:r>
        <w:rPr>
          <w:sz w:val="24"/>
        </w:rPr>
        <w:t>All’atto della risoluzione del rapporto di lavoro l’azienda corrisponderà al lavoratore un trattamento di fine rapporto da calcolarsi secondo quanto disposto dall’art. 2120 del codice civile e dalla legge 29.5.1982, n. 297</w:t>
      </w:r>
      <w:r w:rsidR="004A5E8A">
        <w:rPr>
          <w:sz w:val="24"/>
        </w:rPr>
        <w:t>.</w:t>
      </w:r>
    </w:p>
    <w:p w:rsidR="004A5E8A" w:rsidRDefault="004A5E8A" w:rsidP="004A5E8A">
      <w:pPr>
        <w:ind w:left="1276"/>
        <w:jc w:val="both"/>
        <w:rPr>
          <w:sz w:val="24"/>
        </w:rPr>
      </w:pPr>
    </w:p>
    <w:p w:rsidR="002D3DA3" w:rsidRPr="004A5E8A" w:rsidRDefault="002D3DA3" w:rsidP="004A5E8A">
      <w:pPr>
        <w:ind w:left="1276"/>
        <w:jc w:val="both"/>
        <w:rPr>
          <w:b/>
          <w:sz w:val="24"/>
        </w:rPr>
      </w:pPr>
      <w:r w:rsidRPr="004A5E8A">
        <w:rPr>
          <w:b/>
          <w:sz w:val="24"/>
        </w:rPr>
        <w:t>Nel caso di morte del lavoratore, il trattamento di fine rapporto è corrisposto ai soggetti e con le modalità previste dall’art. 2122 c. c..</w:t>
      </w:r>
    </w:p>
    <w:p w:rsidR="002D3DA3" w:rsidRDefault="002D3DA3" w:rsidP="002D3DA3">
      <w:pPr>
        <w:ind w:left="1276"/>
        <w:jc w:val="both"/>
        <w:rPr>
          <w:sz w:val="24"/>
        </w:rPr>
      </w:pPr>
    </w:p>
    <w:p w:rsidR="003F7F90" w:rsidRDefault="003F7F90" w:rsidP="00525DA7">
      <w:pPr>
        <w:numPr>
          <w:ilvl w:val="0"/>
          <w:numId w:val="2"/>
        </w:numPr>
        <w:tabs>
          <w:tab w:val="clear" w:pos="360"/>
        </w:tabs>
        <w:ind w:left="1276" w:hanging="425"/>
        <w:jc w:val="both"/>
        <w:rPr>
          <w:sz w:val="24"/>
        </w:rPr>
      </w:pPr>
      <w:r>
        <w:rPr>
          <w:sz w:val="24"/>
        </w:rPr>
        <w:t>In attuazione di quanto previsto dal 2° comma dell’art. 2120 del codice civile, sono incluse nel calcolo della retribuzione di riferimento ai fini dell’accantonamento del TFR le seguenti voci retributive</w:t>
      </w:r>
      <w:r w:rsidR="002D3DA3">
        <w:rPr>
          <w:sz w:val="24"/>
        </w:rPr>
        <w:t xml:space="preserve"> </w:t>
      </w:r>
      <w:r w:rsidR="002D3DA3">
        <w:rPr>
          <w:b/>
          <w:sz w:val="24"/>
        </w:rPr>
        <w:t>definite nel presente CCNL</w:t>
      </w:r>
      <w:r>
        <w:rPr>
          <w:sz w:val="24"/>
        </w:rPr>
        <w:t>:</w:t>
      </w:r>
    </w:p>
    <w:p w:rsidR="003F7F90" w:rsidRDefault="003F7F90" w:rsidP="003F7F90">
      <w:pPr>
        <w:ind w:left="360"/>
        <w:jc w:val="both"/>
        <w:rPr>
          <w:sz w:val="24"/>
        </w:rPr>
      </w:pPr>
    </w:p>
    <w:p w:rsidR="002D3DA3" w:rsidRPr="002D3DA3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 w:rsidRPr="002D3DA3">
        <w:rPr>
          <w:sz w:val="24"/>
        </w:rPr>
        <w:t xml:space="preserve">Minimo contrattuale, di cui al punto </w:t>
      </w:r>
      <w:r w:rsidR="002D3DA3">
        <w:rPr>
          <w:b/>
          <w:sz w:val="24"/>
        </w:rPr>
        <w:t>3</w:t>
      </w:r>
      <w:r w:rsidRPr="002D3DA3">
        <w:rPr>
          <w:sz w:val="24"/>
        </w:rPr>
        <w:t xml:space="preserve">, </w:t>
      </w:r>
      <w:r w:rsidR="002D3DA3" w:rsidRPr="002D3DA3">
        <w:rPr>
          <w:sz w:val="24"/>
        </w:rPr>
        <w:t xml:space="preserve">dell’art. </w:t>
      </w:r>
      <w:r w:rsidR="00FB4FB2">
        <w:rPr>
          <w:b/>
          <w:sz w:val="24"/>
        </w:rPr>
        <w:t>68</w:t>
      </w:r>
      <w:r w:rsidR="002D3DA3">
        <w:rPr>
          <w:sz w:val="24"/>
        </w:rPr>
        <w:t xml:space="preserve"> </w:t>
      </w:r>
      <w:r w:rsidR="002D3DA3" w:rsidRPr="002D3DA3">
        <w:rPr>
          <w:strike/>
          <w:sz w:val="24"/>
        </w:rPr>
        <w:t>(Retribuzione)</w:t>
      </w:r>
      <w:r w:rsidR="002D3DA3">
        <w:rPr>
          <w:sz w:val="24"/>
        </w:rPr>
        <w:t>;</w:t>
      </w:r>
    </w:p>
    <w:p w:rsidR="002D3DA3" w:rsidRDefault="002D3DA3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b/>
          <w:sz w:val="24"/>
        </w:rPr>
        <w:t>Superminimi individuali</w:t>
      </w:r>
      <w:r w:rsidR="003F7F90" w:rsidRPr="002D3DA3">
        <w:rPr>
          <w:sz w:val="24"/>
        </w:rPr>
        <w:t xml:space="preserve"> pensionabili di cui al punto </w:t>
      </w:r>
      <w:r>
        <w:rPr>
          <w:b/>
          <w:sz w:val="24"/>
        </w:rPr>
        <w:t xml:space="preserve">4 dell’art. </w:t>
      </w:r>
      <w:r w:rsidR="00FB4FB2">
        <w:rPr>
          <w:b/>
          <w:sz w:val="24"/>
        </w:rPr>
        <w:t>68</w:t>
      </w:r>
      <w:r>
        <w:rPr>
          <w:b/>
          <w:sz w:val="24"/>
        </w:rPr>
        <w:t>;</w:t>
      </w:r>
      <w:r w:rsidR="003F7F90" w:rsidRPr="002D3DA3">
        <w:rPr>
          <w:sz w:val="24"/>
        </w:rPr>
        <w:t xml:space="preserve"> 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 w:rsidRPr="002D3DA3">
        <w:rPr>
          <w:sz w:val="24"/>
        </w:rPr>
        <w:t xml:space="preserve">E.D.R. di cui al punto </w:t>
      </w:r>
      <w:r w:rsidR="002D3DA3">
        <w:rPr>
          <w:b/>
          <w:sz w:val="24"/>
        </w:rPr>
        <w:t xml:space="preserve">5 dell’art. </w:t>
      </w:r>
      <w:r w:rsidR="00FB4FB2">
        <w:rPr>
          <w:b/>
          <w:sz w:val="24"/>
        </w:rPr>
        <w:t>68</w:t>
      </w:r>
      <w:r w:rsidRPr="002D3DA3"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Aumenti periodici di anzianità, di cui all’art. </w:t>
      </w:r>
      <w:r w:rsidR="00FB4FB2">
        <w:rPr>
          <w:b/>
          <w:sz w:val="24"/>
        </w:rPr>
        <w:t>69</w:t>
      </w:r>
      <w:r w:rsidR="002D3DA3">
        <w:rPr>
          <w:b/>
          <w:sz w:val="24"/>
        </w:rPr>
        <w:t xml:space="preserve"> </w:t>
      </w:r>
      <w:r w:rsidR="002D3DA3" w:rsidRPr="002D3DA3">
        <w:rPr>
          <w:strike/>
          <w:sz w:val="24"/>
        </w:rPr>
        <w:t>d</w:t>
      </w:r>
      <w:r w:rsidRPr="002D3DA3">
        <w:rPr>
          <w:strike/>
          <w:sz w:val="24"/>
        </w:rPr>
        <w:t>el presente CCNL</w:t>
      </w:r>
      <w:r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Tredicesima e quattordicesima mensilità, di cui all’art. </w:t>
      </w:r>
      <w:r w:rsidR="00FB4FB2">
        <w:rPr>
          <w:b/>
          <w:sz w:val="24"/>
        </w:rPr>
        <w:t>70</w:t>
      </w:r>
      <w:r>
        <w:rPr>
          <w:sz w:val="24"/>
        </w:rPr>
        <w:t xml:space="preserve"> </w:t>
      </w:r>
      <w:r w:rsidRPr="003E173E">
        <w:rPr>
          <w:strike/>
          <w:sz w:val="24"/>
        </w:rPr>
        <w:t>del presente CCNL</w:t>
      </w:r>
      <w:r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>Indennità di funzione</w:t>
      </w:r>
      <w:r w:rsidR="003E173E">
        <w:rPr>
          <w:sz w:val="24"/>
        </w:rPr>
        <w:t xml:space="preserve"> </w:t>
      </w:r>
      <w:r w:rsidR="003E173E">
        <w:rPr>
          <w:b/>
          <w:sz w:val="24"/>
        </w:rPr>
        <w:t>Quadri</w:t>
      </w:r>
      <w:r>
        <w:rPr>
          <w:sz w:val="24"/>
        </w:rPr>
        <w:t xml:space="preserve">, di cui all’art. </w:t>
      </w:r>
      <w:r w:rsidR="00FB4FB2">
        <w:rPr>
          <w:b/>
          <w:sz w:val="24"/>
        </w:rPr>
        <w:t>71</w:t>
      </w:r>
      <w:r>
        <w:rPr>
          <w:sz w:val="24"/>
        </w:rPr>
        <w:t xml:space="preserve"> </w:t>
      </w:r>
      <w:r w:rsidRPr="003E173E">
        <w:rPr>
          <w:strike/>
          <w:sz w:val="24"/>
        </w:rPr>
        <w:t>del presente CCNL</w:t>
      </w:r>
      <w:r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trike/>
          <w:sz w:val="24"/>
        </w:rPr>
      </w:pPr>
      <w:r w:rsidRPr="003E173E">
        <w:rPr>
          <w:strike/>
          <w:sz w:val="24"/>
        </w:rPr>
        <w:t>Salario professionale, di cui all’art. 67 del presente CCNL;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Indennità per lavoro notturno, di cui all’art. </w:t>
      </w:r>
      <w:r w:rsidR="00FB4FB2">
        <w:rPr>
          <w:b/>
          <w:sz w:val="24"/>
        </w:rPr>
        <w:t>74</w:t>
      </w:r>
      <w:r>
        <w:rPr>
          <w:sz w:val="24"/>
        </w:rPr>
        <w:t xml:space="preserve"> </w:t>
      </w:r>
      <w:r w:rsidRPr="003E173E">
        <w:rPr>
          <w:strike/>
          <w:sz w:val="24"/>
        </w:rPr>
        <w:t>del presente CCNL</w:t>
      </w:r>
      <w:r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Indennità per lavoro domenicale o festivo, di cui all’art. </w:t>
      </w:r>
      <w:r w:rsidR="00FB4FB2">
        <w:rPr>
          <w:b/>
          <w:sz w:val="24"/>
        </w:rPr>
        <w:t>75</w:t>
      </w:r>
      <w:r>
        <w:rPr>
          <w:sz w:val="24"/>
        </w:rPr>
        <w:t xml:space="preserve">  </w:t>
      </w:r>
      <w:r w:rsidRPr="003E173E">
        <w:rPr>
          <w:strike/>
          <w:sz w:val="24"/>
        </w:rPr>
        <w:t>del presente CCNL</w:t>
      </w:r>
      <w:r>
        <w:rPr>
          <w:sz w:val="24"/>
        </w:rPr>
        <w:t>,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Compenso per reperibilità, di cui al punto 6.1 dell’art. </w:t>
      </w:r>
      <w:r w:rsidR="00FB4FB2">
        <w:rPr>
          <w:b/>
          <w:sz w:val="24"/>
        </w:rPr>
        <w:t>78</w:t>
      </w:r>
      <w:r>
        <w:rPr>
          <w:sz w:val="24"/>
        </w:rPr>
        <w:t xml:space="preserve">  </w:t>
      </w:r>
      <w:r w:rsidRPr="003E173E">
        <w:rPr>
          <w:strike/>
          <w:sz w:val="24"/>
        </w:rPr>
        <w:t>del presente CCNL</w:t>
      </w:r>
      <w:r>
        <w:rPr>
          <w:sz w:val="24"/>
        </w:rPr>
        <w:t>;</w:t>
      </w:r>
    </w:p>
    <w:p w:rsidR="003F7F90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>
        <w:rPr>
          <w:sz w:val="24"/>
        </w:rPr>
        <w:t xml:space="preserve">Indennità </w:t>
      </w:r>
      <w:r w:rsidRPr="003E173E">
        <w:rPr>
          <w:strike/>
          <w:sz w:val="24"/>
        </w:rPr>
        <w:t>per maneggio denaro</w:t>
      </w:r>
      <w:r w:rsidR="003E173E">
        <w:rPr>
          <w:sz w:val="24"/>
        </w:rPr>
        <w:t xml:space="preserve"> </w:t>
      </w:r>
      <w:r w:rsidR="003E173E">
        <w:rPr>
          <w:b/>
          <w:sz w:val="24"/>
        </w:rPr>
        <w:t>d</w:t>
      </w:r>
      <w:r w:rsidR="003E173E" w:rsidRPr="003E173E">
        <w:rPr>
          <w:b/>
          <w:sz w:val="24"/>
        </w:rPr>
        <w:t>i cassa</w:t>
      </w:r>
      <w:r>
        <w:rPr>
          <w:sz w:val="24"/>
        </w:rPr>
        <w:t xml:space="preserve">, di cui </w:t>
      </w:r>
      <w:r w:rsidR="003E173E">
        <w:rPr>
          <w:b/>
          <w:sz w:val="24"/>
        </w:rPr>
        <w:t>al punto 1 de</w:t>
      </w:r>
      <w:r>
        <w:rPr>
          <w:sz w:val="24"/>
        </w:rPr>
        <w:t xml:space="preserve">ll’art. </w:t>
      </w:r>
      <w:r w:rsidR="00FB4FB2">
        <w:rPr>
          <w:b/>
          <w:sz w:val="24"/>
        </w:rPr>
        <w:t>79</w:t>
      </w:r>
      <w:r>
        <w:rPr>
          <w:sz w:val="24"/>
        </w:rPr>
        <w:t xml:space="preserve"> </w:t>
      </w:r>
      <w:r w:rsidRPr="003E173E">
        <w:rPr>
          <w:strike/>
          <w:sz w:val="24"/>
        </w:rPr>
        <w:t>del presente CCNL</w:t>
      </w:r>
      <w:r>
        <w:rPr>
          <w:sz w:val="24"/>
        </w:rPr>
        <w:t>;</w:t>
      </w:r>
    </w:p>
    <w:p w:rsidR="003F7F90" w:rsidRPr="001B1B94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 w:rsidRPr="001B1B94">
        <w:rPr>
          <w:sz w:val="24"/>
        </w:rPr>
        <w:t xml:space="preserve">Indennità di turno, di cui all’art. </w:t>
      </w:r>
      <w:r w:rsidR="001B1B94">
        <w:rPr>
          <w:b/>
          <w:sz w:val="24"/>
        </w:rPr>
        <w:t>80</w:t>
      </w:r>
      <w:r w:rsidRPr="001B1B94">
        <w:rPr>
          <w:sz w:val="24"/>
        </w:rPr>
        <w:t xml:space="preserve"> del presente CCNL;</w:t>
      </w:r>
    </w:p>
    <w:p w:rsidR="003F7F90" w:rsidRPr="001B1B94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 w:rsidRPr="001B1B94">
        <w:rPr>
          <w:sz w:val="24"/>
        </w:rPr>
        <w:t xml:space="preserve">Indennità per lavorazioni in condizioni disagiate, di cui all’art. </w:t>
      </w:r>
      <w:r w:rsidR="001B1B94">
        <w:rPr>
          <w:b/>
          <w:sz w:val="24"/>
        </w:rPr>
        <w:t>81</w:t>
      </w:r>
      <w:r w:rsidRPr="001B1B94">
        <w:rPr>
          <w:sz w:val="24"/>
        </w:rPr>
        <w:t xml:space="preserve"> del presente CCNL;</w:t>
      </w:r>
    </w:p>
    <w:p w:rsidR="003F7F90" w:rsidRPr="001B1B94" w:rsidRDefault="003F7F90" w:rsidP="00525DA7">
      <w:pPr>
        <w:numPr>
          <w:ilvl w:val="0"/>
          <w:numId w:val="1"/>
        </w:numPr>
        <w:tabs>
          <w:tab w:val="clear" w:pos="1068"/>
          <w:tab w:val="num" w:pos="-2340"/>
        </w:tabs>
        <w:ind w:left="1843" w:hanging="425"/>
        <w:jc w:val="both"/>
        <w:rPr>
          <w:sz w:val="24"/>
        </w:rPr>
      </w:pPr>
      <w:r w:rsidRPr="001B1B94">
        <w:rPr>
          <w:sz w:val="24"/>
        </w:rPr>
        <w:t xml:space="preserve">Indennità di cui al punto 3 dell’art. </w:t>
      </w:r>
      <w:r w:rsidR="001B1B94">
        <w:rPr>
          <w:b/>
          <w:sz w:val="24"/>
        </w:rPr>
        <w:t>82</w:t>
      </w:r>
      <w:r w:rsidRPr="001B1B94">
        <w:rPr>
          <w:sz w:val="24"/>
        </w:rPr>
        <w:t xml:space="preserve"> del presente CCNL.</w:t>
      </w:r>
    </w:p>
    <w:p w:rsidR="003F7F90" w:rsidRDefault="003F7F90" w:rsidP="003F7F90">
      <w:pPr>
        <w:jc w:val="both"/>
      </w:pPr>
    </w:p>
    <w:p w:rsidR="003F7F90" w:rsidRDefault="003F7F90" w:rsidP="003F7F90">
      <w:pPr>
        <w:ind w:left="1276" w:hanging="425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Le aziende concederanno ai lavoratori anticipazioni del TFR con le modalità definite tra le parti a livello aziendale, in applicazione della legislazione vigente in materia.</w:t>
      </w:r>
    </w:p>
    <w:p w:rsidR="003F7F90" w:rsidRDefault="003F7F90" w:rsidP="003F7F90">
      <w:pPr>
        <w:ind w:left="1276" w:hanging="425"/>
        <w:jc w:val="both"/>
        <w:rPr>
          <w:sz w:val="24"/>
        </w:rPr>
      </w:pPr>
    </w:p>
    <w:p w:rsidR="003F7F90" w:rsidRDefault="003F7F90" w:rsidP="003F7F90">
      <w:pPr>
        <w:ind w:left="1276" w:hanging="425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Per le assenze retribuite di cui al presente CCNL, la retribuzione di riferimento ai fini dell’accantonamento del TFR è quella indicata al precedente punto 2 ove corrisposta.</w:t>
      </w:r>
      <w:r w:rsidR="003E173E" w:rsidRPr="003E173E">
        <w:rPr>
          <w:sz w:val="24"/>
        </w:rPr>
        <w:t xml:space="preserve"> </w:t>
      </w:r>
      <w:r w:rsidR="003E173E">
        <w:rPr>
          <w:sz w:val="24"/>
        </w:rPr>
        <w:t>Le assenze non retribuite non danno titolo alla maturazione del TFR.</w:t>
      </w:r>
    </w:p>
    <w:p w:rsidR="003F7F90" w:rsidRDefault="003F7F90" w:rsidP="003F7F90">
      <w:pPr>
        <w:ind w:left="1276" w:hanging="425"/>
        <w:jc w:val="both"/>
        <w:rPr>
          <w:sz w:val="24"/>
        </w:rPr>
      </w:pPr>
    </w:p>
    <w:p w:rsidR="003E173E" w:rsidRPr="003E173E" w:rsidRDefault="003E173E" w:rsidP="003E173E">
      <w:pPr>
        <w:pStyle w:val="Paragrafoelenco"/>
        <w:numPr>
          <w:ilvl w:val="0"/>
          <w:numId w:val="5"/>
        </w:numPr>
        <w:tabs>
          <w:tab w:val="clear" w:pos="360"/>
          <w:tab w:val="num" w:pos="-2694"/>
        </w:tabs>
        <w:ind w:left="1276" w:hanging="426"/>
        <w:jc w:val="both"/>
        <w:rPr>
          <w:b/>
          <w:sz w:val="24"/>
        </w:rPr>
      </w:pPr>
      <w:r w:rsidRPr="003E173E">
        <w:rPr>
          <w:b/>
          <w:sz w:val="24"/>
        </w:rPr>
        <w:t>Non si computano nel TFR le quote indennitarie della indennità di trasferta</w:t>
      </w:r>
      <w:r>
        <w:rPr>
          <w:b/>
          <w:sz w:val="24"/>
        </w:rPr>
        <w:t xml:space="preserve">, della </w:t>
      </w:r>
      <w:r w:rsidRPr="003E173E">
        <w:rPr>
          <w:b/>
          <w:sz w:val="24"/>
        </w:rPr>
        <w:t xml:space="preserve"> </w:t>
      </w:r>
      <w:r w:rsidR="001B1B94">
        <w:rPr>
          <w:b/>
          <w:sz w:val="24"/>
        </w:rPr>
        <w:t>assenza dalla residenza</w:t>
      </w:r>
      <w:r>
        <w:rPr>
          <w:b/>
          <w:sz w:val="24"/>
        </w:rPr>
        <w:t xml:space="preserve"> e</w:t>
      </w:r>
      <w:r w:rsidRPr="003E173E">
        <w:rPr>
          <w:b/>
          <w:sz w:val="24"/>
        </w:rPr>
        <w:t xml:space="preserve"> dell’indennità di </w:t>
      </w:r>
      <w:r>
        <w:rPr>
          <w:b/>
          <w:sz w:val="24"/>
        </w:rPr>
        <w:t>linea di cui all’art. 7</w:t>
      </w:r>
      <w:r w:rsidR="00FB4FB2">
        <w:rPr>
          <w:b/>
          <w:sz w:val="24"/>
        </w:rPr>
        <w:t>6</w:t>
      </w:r>
      <w:r w:rsidR="001B1B94">
        <w:rPr>
          <w:b/>
          <w:sz w:val="24"/>
        </w:rPr>
        <w:t xml:space="preserve"> del presente CCNL</w:t>
      </w:r>
      <w:r w:rsidRPr="003E173E">
        <w:rPr>
          <w:b/>
          <w:sz w:val="24"/>
        </w:rPr>
        <w:t xml:space="preserve">. </w:t>
      </w:r>
    </w:p>
    <w:p w:rsidR="003E173E" w:rsidRDefault="003E173E" w:rsidP="003F7F90">
      <w:pPr>
        <w:ind w:left="1276" w:hanging="425"/>
        <w:jc w:val="both"/>
        <w:rPr>
          <w:sz w:val="24"/>
        </w:rPr>
      </w:pPr>
    </w:p>
    <w:p w:rsidR="004A5E8A" w:rsidRDefault="00525DA7" w:rsidP="003F7F90">
      <w:pPr>
        <w:ind w:left="1276" w:hanging="425"/>
        <w:jc w:val="both"/>
        <w:rPr>
          <w:rFonts w:ascii="Calibri" w:hAnsi="Calibri" w:cs="Calibri"/>
          <w:sz w:val="22"/>
          <w:szCs w:val="22"/>
        </w:rPr>
      </w:pPr>
      <w:r>
        <w:rPr>
          <w:b/>
          <w:sz w:val="24"/>
        </w:rPr>
        <w:t xml:space="preserve">6. </w:t>
      </w:r>
      <w:r>
        <w:rPr>
          <w:b/>
          <w:sz w:val="24"/>
        </w:rPr>
        <w:tab/>
        <w:t>I</w:t>
      </w:r>
      <w:r w:rsidR="004A5E8A" w:rsidRPr="00525DA7">
        <w:rPr>
          <w:sz w:val="24"/>
        </w:rPr>
        <w:t>l pagamento del trattamento di fine rapporto avverrà entro 30 giorni dalla data di pubblicazione dell’indice ISTAT da utilizzare per la rivalutazione del trattamento maturato</w:t>
      </w:r>
      <w:r>
        <w:rPr>
          <w:rFonts w:ascii="Calibri" w:hAnsi="Calibri" w:cs="Calibri"/>
          <w:sz w:val="22"/>
          <w:szCs w:val="22"/>
        </w:rPr>
        <w:t>.</w:t>
      </w:r>
    </w:p>
    <w:p w:rsidR="00525DA7" w:rsidRDefault="00525DA7" w:rsidP="003F7F90">
      <w:pPr>
        <w:ind w:left="1276" w:hanging="425"/>
        <w:jc w:val="both"/>
        <w:rPr>
          <w:sz w:val="24"/>
        </w:rPr>
      </w:pPr>
    </w:p>
    <w:p w:rsidR="003F7F90" w:rsidRPr="008D4F76" w:rsidRDefault="00525DA7" w:rsidP="003F7F90">
      <w:pPr>
        <w:ind w:left="1276" w:hanging="426"/>
        <w:jc w:val="both"/>
        <w:rPr>
          <w:strike/>
          <w:sz w:val="24"/>
        </w:rPr>
      </w:pPr>
      <w:r w:rsidRPr="008D4F76">
        <w:rPr>
          <w:b/>
          <w:strike/>
          <w:sz w:val="24"/>
        </w:rPr>
        <w:t>7.</w:t>
      </w:r>
      <w:r w:rsidR="003F7F90" w:rsidRPr="008D4F76">
        <w:rPr>
          <w:strike/>
          <w:sz w:val="24"/>
        </w:rPr>
        <w:t xml:space="preserve"> </w:t>
      </w:r>
      <w:r w:rsidR="003F7F90" w:rsidRPr="008D4F76">
        <w:rPr>
          <w:strike/>
          <w:sz w:val="24"/>
        </w:rPr>
        <w:tab/>
        <w:t xml:space="preserve">In relazione a quanto previsto al 3° comma dell’art. </w:t>
      </w:r>
      <w:r w:rsidRPr="008D4F76">
        <w:rPr>
          <w:b/>
          <w:strike/>
          <w:sz w:val="24"/>
        </w:rPr>
        <w:t>5</w:t>
      </w:r>
      <w:r w:rsidR="00FB4FB2" w:rsidRPr="008D4F76">
        <w:rPr>
          <w:b/>
          <w:strike/>
          <w:sz w:val="24"/>
        </w:rPr>
        <w:t>4</w:t>
      </w:r>
      <w:r w:rsidR="003F7F90" w:rsidRPr="008D4F76">
        <w:rPr>
          <w:strike/>
          <w:sz w:val="24"/>
        </w:rPr>
        <w:t xml:space="preserve"> (Fondo pensione complementare) del presente CCNL, le parti individueranno a livello aziendale la quota del TFR accantonato da destinare alla pensione integrativa.</w:t>
      </w:r>
    </w:p>
    <w:p w:rsidR="00BF4545" w:rsidRDefault="00BF4545" w:rsidP="00200668">
      <w:pPr>
        <w:pStyle w:val="Titolo2"/>
        <w:ind w:left="0" w:firstLine="0"/>
      </w:pPr>
    </w:p>
    <w:sectPr w:rsidR="00BF4545" w:rsidSect="00BF454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665" w:rsidRDefault="00D44665" w:rsidP="003F7F90">
      <w:r>
        <w:separator/>
      </w:r>
    </w:p>
  </w:endnote>
  <w:endnote w:type="continuationSeparator" w:id="0">
    <w:p w:rsidR="00D44665" w:rsidRDefault="00D44665" w:rsidP="003F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665" w:rsidRDefault="00D44665" w:rsidP="003F7F90">
      <w:r>
        <w:separator/>
      </w:r>
    </w:p>
  </w:footnote>
  <w:footnote w:type="continuationSeparator" w:id="0">
    <w:p w:rsidR="00D44665" w:rsidRDefault="00D44665" w:rsidP="003F7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F90" w:rsidRPr="003F7F90" w:rsidRDefault="003F7F90">
    <w:pPr>
      <w:pStyle w:val="Intestazione"/>
      <w:rPr>
        <w:i/>
      </w:rPr>
    </w:pPr>
    <w:r w:rsidRPr="003F7F90">
      <w:rPr>
        <w:i/>
      </w:rPr>
      <w:ptab w:relativeTo="margin" w:alignment="center" w:leader="none"/>
    </w:r>
    <w:r w:rsidRPr="003F7F90">
      <w:rPr>
        <w:i/>
      </w:rPr>
      <w:ptab w:relativeTo="margin" w:alignment="right" w:leader="none"/>
    </w:r>
    <w:r w:rsidR="001B1B94">
      <w:rPr>
        <w:i/>
      </w:rPr>
      <w:t>CCNL AF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70DE3"/>
    <w:multiLevelType w:val="singleLevel"/>
    <w:tmpl w:val="432A2BF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29282AAF"/>
    <w:multiLevelType w:val="multilevel"/>
    <w:tmpl w:val="C5FE40D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2">
      <w:start w:val="1"/>
      <w:numFmt w:val="bullet"/>
      <w:lvlText w:val="−"/>
      <w:lvlJc w:val="left"/>
      <w:pPr>
        <w:ind w:left="2160" w:hanging="180"/>
      </w:pPr>
      <w:rPr>
        <w:rFonts w:ascii="Calibri" w:hAnsi="Calibri" w:hint="default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F1254A7"/>
    <w:multiLevelType w:val="hybridMultilevel"/>
    <w:tmpl w:val="8B98D4FC"/>
    <w:lvl w:ilvl="0" w:tplc="E084D06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C4DB1"/>
    <w:multiLevelType w:val="hybridMultilevel"/>
    <w:tmpl w:val="71F43DB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52999"/>
    <w:multiLevelType w:val="multilevel"/>
    <w:tmpl w:val="B296B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F90"/>
    <w:rsid w:val="00045B1C"/>
    <w:rsid w:val="001B1B94"/>
    <w:rsid w:val="00200668"/>
    <w:rsid w:val="00282AFB"/>
    <w:rsid w:val="002D3DA3"/>
    <w:rsid w:val="002F3E77"/>
    <w:rsid w:val="003E173E"/>
    <w:rsid w:val="003F7F90"/>
    <w:rsid w:val="00481A88"/>
    <w:rsid w:val="004A5E8A"/>
    <w:rsid w:val="00525DA7"/>
    <w:rsid w:val="00851B3B"/>
    <w:rsid w:val="008825BF"/>
    <w:rsid w:val="008D4F76"/>
    <w:rsid w:val="008E0113"/>
    <w:rsid w:val="009A00A6"/>
    <w:rsid w:val="009A4293"/>
    <w:rsid w:val="00AD71F1"/>
    <w:rsid w:val="00BF4545"/>
    <w:rsid w:val="00C07C66"/>
    <w:rsid w:val="00D44665"/>
    <w:rsid w:val="00FB4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F7F90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F7F9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F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F9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F7F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7F9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7F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7F90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3E1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9</cp:revision>
  <dcterms:created xsi:type="dcterms:W3CDTF">2011-11-13T19:00:00Z</dcterms:created>
  <dcterms:modified xsi:type="dcterms:W3CDTF">2012-03-29T09:14:00Z</dcterms:modified>
</cp:coreProperties>
</file>